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COOPERAÇÃO JURÍDICA INTERNACIONAL PARA A RECUPERAÇÃO DE BENS CULTURAIS: AS CONVENÇÕES DA UNESCO (1970) E DO UNIDROIT (1995) SOB UMA ÓTICA ESTRUTURANTE</w:t>
      </w:r>
    </w:p>
    <w:p w:rsidR="00000000" w:rsidDel="00000000" w:rsidP="00000000" w:rsidRDefault="00000000" w:rsidRPr="00000000" w14:paraId="00000002">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Nicolau de Albernaz Maldonado</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tl w:val="0"/>
        </w:rPr>
      </w:r>
    </w:p>
    <w:p w:rsidR="00000000" w:rsidDel="00000000" w:rsidP="00000000" w:rsidRDefault="00000000" w:rsidRPr="00000000" w14:paraId="00000003">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after="0"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INTRODUÇÃO</w:t>
      </w:r>
    </w:p>
    <w:p w:rsidR="00000000" w:rsidDel="00000000" w:rsidP="00000000" w:rsidRDefault="00000000" w:rsidRPr="00000000" w14:paraId="00000005">
      <w:pPr>
        <w:spacing w:after="0" w:line="36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vida intensamente interconectada do século XXI, o trânsito internacional é comum. Hoje, quase todo tipo de sujeito, bem e direito pode tangenciar e cruzar fronteiras. Em meio a cadeias comerciais crescentemente complexas, meios de transporte ineditamente sofisticados e desafios extraordinários da digitalização, o fluxo internacional também contempla o antigo e a cultura. </w:t>
      </w:r>
    </w:p>
    <w:p w:rsidR="00000000" w:rsidDel="00000000" w:rsidP="00000000" w:rsidRDefault="00000000" w:rsidRPr="00000000" w14:paraId="00000007">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do patrimônio cultural, não são só as características ágeis do mundo contemporâneo que o fazem cruzar territórios. Séculos de colonialismo foram marcados de vivaz espoliação de bens de sociedades subjugadas, seja pela força, seja pela diplomacia. Uma fração considerável desse patrimônio material, hoje, compõe o acervo de museus sediados em antigas metrópoles, principalmente na Europa. De forma concomitante, nasceu um nicho de mercado interessado nesse tipo de item, estimulando a exportação pouco ordenada em seus Estados de origem. </w:t>
      </w:r>
    </w:p>
    <w:p w:rsidR="00000000" w:rsidDel="00000000" w:rsidP="00000000" w:rsidRDefault="00000000" w:rsidRPr="00000000" w14:paraId="00000008">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a crescente descolonização da América, África e Ásia, proliferaram legislações domésticas, reconhecendo oficialmente a dimensão cultural desse material e regulando sua exportação. A partir da década de 1960, o debate evoluiu em nível internacional, com um número cada vez maior de pleitos de restituição desse patrimônio pelos Estados de seus territórios originários, com resistência oposta pelas antigas metrópoles. Esse embate é simbolicamente sintetizado justamente nas nomenclaturas "Estados de mercado" e "Estados exportadores" (ou de origem), para designar os dois grupos de países, que são empregadas em diversos estudos do tema (Blake, 2015; Néto, 2025; Piagentini, 2021).</w:t>
      </w:r>
    </w:p>
    <w:p w:rsidR="00000000" w:rsidDel="00000000" w:rsidP="00000000" w:rsidRDefault="00000000" w:rsidRPr="00000000" w14:paraId="00000009">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Fruto desse atrito, dois dos marcos normativos mais importantes no âmbito internacional são a Convenção sobre as Medidas a serem adotadas para Proibir e Impedir a Importação, Exportação e Transferência Ilícitas dos Bens Culturais (Convenção da Organização das Nações Unidas para a Educação, a Ciência e a Cultura - UNESCO, de 1970) e a Convenção do Instituto Internacional para a Unificação do Direito Privado (UNIDROIT) sobre Bens Culturais Roubados ou Ilicitamente Exportados (a Convenção do UNIDROIT de 1995). O manuseio desses instrumentos – e abordagem do problema da repatriação de bens culturais como um todo – depende de uma leitura estruturante, sistematicamente localizada na disciplina da cooperação jurídica internacional.</w:t>
      </w:r>
    </w:p>
    <w:p w:rsidR="00000000" w:rsidDel="00000000" w:rsidP="00000000" w:rsidRDefault="00000000" w:rsidRPr="00000000" w14:paraId="0000000A">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trabalho pretende analisar os mecanismos de cooperação contidos nessas duas convenções e expor, de forma prática, como podem ser operados para formulação de pedidos de devolução de bens culturais. Aprofundar esse debate é especialmente importante para o Brasil. De fato, ao longo da história e até hoje, uma porção enorme do patrimônio cultural brasileiro foi exportado de maneira irregular e se encontra espalhado por Estados estrangeiros</w:t>
      </w:r>
      <w:r w:rsidDel="00000000" w:rsidR="00000000" w:rsidRPr="00000000">
        <w:rPr>
          <w:rFonts w:ascii="Times New Roman" w:cs="Times New Roman" w:eastAsia="Times New Roman" w:hAnsi="Times New Roman"/>
          <w:vertAlign w:val="superscript"/>
        </w:rPr>
        <w:footnoteReference w:customMarkFollows="0" w:id="1"/>
      </w:r>
      <w:r w:rsidDel="00000000" w:rsidR="00000000" w:rsidRPr="00000000">
        <w:rPr>
          <w:rFonts w:ascii="Times New Roman" w:cs="Times New Roman" w:eastAsia="Times New Roman" w:hAnsi="Times New Roman"/>
          <w:rtl w:val="0"/>
        </w:rPr>
        <w:t xml:space="preserve">. E cada vez mais a sociedade civil e o Estado brasileiro se engajam para retomá-lo ao território nacional, ainda que sob desafios administrativos substanciais</w:t>
      </w:r>
      <w:r w:rsidDel="00000000" w:rsidR="00000000" w:rsidRPr="00000000">
        <w:rPr>
          <w:rFonts w:ascii="Times New Roman" w:cs="Times New Roman" w:eastAsia="Times New Roman" w:hAnsi="Times New Roman"/>
          <w:vertAlign w:val="superscript"/>
        </w:rPr>
        <w:footnoteReference w:customMarkFollows="0" w:id="2"/>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Notoriamente, em junho de 2023, a Alemanha devolveu o fóssil do dinossauro </w:t>
      </w:r>
      <w:r w:rsidDel="00000000" w:rsidR="00000000" w:rsidRPr="00000000">
        <w:rPr>
          <w:rFonts w:ascii="Times New Roman" w:cs="Times New Roman" w:eastAsia="Times New Roman" w:hAnsi="Times New Roman"/>
          <w:i w:val="1"/>
          <w:iCs w:val="1"/>
          <w:rtl w:val="0"/>
        </w:rPr>
        <w:t xml:space="preserve">Ubirajara Jubatus</w:t>
      </w:r>
      <w:r w:rsidDel="00000000" w:rsidR="00000000" w:rsidRPr="00000000">
        <w:rPr>
          <w:rFonts w:ascii="Times New Roman" w:cs="Times New Roman" w:eastAsia="Times New Roman" w:hAnsi="Times New Roman"/>
          <w:rtl w:val="0"/>
        </w:rPr>
        <w:t xml:space="preserve">. A peça rara havia sido levada do país ilegalmente, em 1995. Após sua devolução, foi encaminhada à custódia do Museu Plácido Cidade das Nuvens, na região cearense de sua origem</w:t>
      </w:r>
      <w:r w:rsidDel="00000000" w:rsidR="00000000" w:rsidRPr="00000000">
        <w:rPr>
          <w:rFonts w:ascii="Times New Roman" w:cs="Times New Roman" w:eastAsia="Times New Roman" w:hAnsi="Times New Roman"/>
          <w:vertAlign w:val="superscript"/>
        </w:rPr>
        <w:footnoteReference w:customMarkFollows="0" w:id="3"/>
      </w:r>
      <w:r w:rsidDel="00000000" w:rsidR="00000000" w:rsidRPr="00000000">
        <w:rPr>
          <w:rFonts w:ascii="Times New Roman" w:cs="Times New Roman" w:eastAsia="Times New Roman" w:hAnsi="Times New Roman"/>
          <w:rtl w:val="0"/>
        </w:rPr>
        <w:t xml:space="preserve">. O mesmo museu também recebeu, em dezembro de 2023, um total de 998 fósseis extraídos ilicitamente para a França</w:t>
      </w:r>
      <w:r w:rsidDel="00000000" w:rsidR="00000000" w:rsidRPr="00000000">
        <w:rPr>
          <w:rFonts w:ascii="Times New Roman" w:cs="Times New Roman" w:eastAsia="Times New Roman" w:hAnsi="Times New Roman"/>
          <w:vertAlign w:val="superscript"/>
        </w:rPr>
        <w:footnoteReference w:customMarkFollows="0" w:id="4"/>
      </w:r>
      <w:r w:rsidDel="00000000" w:rsidR="00000000" w:rsidRPr="00000000">
        <w:rPr>
          <w:rFonts w:ascii="Times New Roman" w:cs="Times New Roman" w:eastAsia="Times New Roman" w:hAnsi="Times New Roman"/>
          <w:rtl w:val="0"/>
        </w:rPr>
        <w:t xml:space="preserve">. Já em julho de 2024, foi a vez da Dinamarca. O Estado estrangeiro devolveu ao Brasil o importante Manto Tupinambá, do século XVI. Agora no Museu Nacional, o artigo é o único dos 11 exemplares históricos existentes que não está na Europa</w:t>
      </w:r>
      <w:r w:rsidDel="00000000" w:rsidR="00000000" w:rsidRPr="00000000">
        <w:rPr>
          <w:rFonts w:ascii="Times New Roman" w:cs="Times New Roman" w:eastAsia="Times New Roman" w:hAnsi="Times New Roman"/>
          <w:vertAlign w:val="superscript"/>
        </w:rPr>
        <w:footnoteReference w:customMarkFollows="0" w:id="5"/>
      </w:r>
      <w:r w:rsidDel="00000000" w:rsidR="00000000" w:rsidRPr="00000000">
        <w:rPr>
          <w:rFonts w:ascii="Times New Roman" w:cs="Times New Roman" w:eastAsia="Times New Roman" w:hAnsi="Times New Roman"/>
          <w:rtl w:val="0"/>
        </w:rPr>
        <w:t xml:space="preserve">. Em novembro de 2024, o judiciário estadunidense decidiu pela devolução ao Brasil da Esmeralda Bahia, de quase 380 kg, vendida ilegalmente</w:t>
      </w:r>
      <w:r w:rsidDel="00000000" w:rsidR="00000000" w:rsidRPr="00000000">
        <w:rPr>
          <w:rFonts w:ascii="Times New Roman" w:cs="Times New Roman" w:eastAsia="Times New Roman" w:hAnsi="Times New Roman"/>
          <w:vertAlign w:val="superscript"/>
        </w:rPr>
        <w:footnoteReference w:customMarkFollows="0" w:id="6"/>
      </w:r>
      <w:r w:rsidDel="00000000" w:rsidR="00000000" w:rsidRPr="00000000">
        <w:rPr>
          <w:rFonts w:ascii="Times New Roman" w:cs="Times New Roman" w:eastAsia="Times New Roman" w:hAnsi="Times New Roman"/>
          <w:rtl w:val="0"/>
        </w:rPr>
        <w:t xml:space="preserve">. Estes, são apenas alguns exemplos, mas há outros</w:t>
      </w:r>
      <w:r w:rsidDel="00000000" w:rsidR="00000000" w:rsidRPr="00000000">
        <w:rPr>
          <w:rFonts w:ascii="Times New Roman" w:cs="Times New Roman" w:eastAsia="Times New Roman" w:hAnsi="Times New Roman"/>
          <w:vertAlign w:val="superscript"/>
        </w:rPr>
        <w:footnoteReference w:customMarkFollows="0" w:id="7"/>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C">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Feita essa breve introdução, passa-se agora ao exame do tema sob o lume da cooperação jurídica internacional, de modo a, na sequência, possibilitar uma leitura mais apropriada das convenções. Ao fim, pretende-se elucidar os caminhos jurídicos possíveis, no âmbito dos tratados, à recuperação de bens culturais ao território brasileiro. </w:t>
      </w:r>
    </w:p>
    <w:p w:rsidR="00000000" w:rsidDel="00000000" w:rsidP="00000000" w:rsidRDefault="00000000" w:rsidRPr="00000000" w14:paraId="0000000D">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 - COOPERAÇÃO JURÍDICA INTERNACIONAL À SERVIÇO DA RECUPERAÇÃO DE PATRIMÔNIO CULTURAL</w:t>
      </w:r>
    </w:p>
    <w:p w:rsidR="00000000" w:rsidDel="00000000" w:rsidP="00000000" w:rsidRDefault="00000000" w:rsidRPr="00000000" w14:paraId="0000000F">
      <w:pPr>
        <w:spacing w:after="0" w:line="36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Bens culturais ocupam um espaço bastante desafiador à categorização estrita, retida à clivagem tradicional público-privado. Na verdade, eles comportam trejeitos tanto públicos quanto privados, como comenta Francesco Francioni: </w:t>
      </w:r>
    </w:p>
    <w:p w:rsidR="00000000" w:rsidDel="00000000" w:rsidP="00000000" w:rsidRDefault="00000000" w:rsidRPr="00000000" w14:paraId="0000001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ind w:left="226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Hoje, os bens culturais podem ser compreendidos como parte da identidade nacional, especialmente em contextos pós-coloniais e pós-comunistas, nos quais o patrimônio cultural exerce um papel importante na ‘justiça de transição’, na forma tanto da devolução de arte saqueada ou destruída e da recolocação de monumentos carregados de significados políticos. Ao mesmo tempo, os objetos culturais podem ser vistos como parte do espaço público físico que condiciona nossa visão de mundo e é parte do que normalmente chamamos de ‘meio ambiente’ ou de ‘paisagem’. (…) </w:t>
      </w:r>
    </w:p>
    <w:p w:rsidR="00000000" w:rsidDel="00000000" w:rsidP="00000000" w:rsidRDefault="00000000" w:rsidRPr="00000000" w14:paraId="00000013">
      <w:pPr>
        <w:spacing w:after="0" w:line="240" w:lineRule="auto"/>
        <w:ind w:left="226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Bens culturais podem ser vistos como artefatos móveis suscetíveis de valoração econômica, e por essa razão, sujeitos à circulação no comércio doméstico e internacional; mas também podem ser vistos como objetos revestidos de valor intrínseco, enquanto expressões da criatividade humana e como parte de uma tradição única ou muito especial de habilidades e ofícios humanos, que hoje chamamos de ‘patrimônio cultural imaterial’.</w:t>
      </w:r>
    </w:p>
    <w:p w:rsidR="00000000" w:rsidDel="00000000" w:rsidP="00000000" w:rsidRDefault="00000000" w:rsidRPr="00000000" w14:paraId="00000014">
      <w:pPr>
        <w:spacing w:after="0" w:line="240" w:lineRule="auto"/>
        <w:ind w:left="226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Bens culturais hoje podem ser vistos como objeto de direitos individuais, inclusive direitos de propriedade, mas também como ‘propriedade coletiva’ ou patrimônio público, que é essencial ao sentimento de pertencimento a um corpo social coletivo e à transmissão desse sentimento a gerações futuras. (grifou-se)</w:t>
      </w:r>
      <w:r w:rsidDel="00000000" w:rsidR="00000000" w:rsidRPr="00000000">
        <w:rPr>
          <w:rFonts w:ascii="Times New Roman" w:cs="Times New Roman" w:eastAsia="Times New Roman" w:hAnsi="Times New Roman"/>
          <w:sz w:val="22"/>
          <w:szCs w:val="22"/>
          <w:vertAlign w:val="superscript"/>
        </w:rPr>
        <w:footnoteReference w:customMarkFollows="0" w:id="8"/>
      </w:r>
      <w:r w:rsidDel="00000000" w:rsidR="00000000" w:rsidRPr="00000000">
        <w:rPr>
          <w:rtl w:val="0"/>
        </w:rPr>
      </w:r>
    </w:p>
    <w:p w:rsidR="00000000" w:rsidDel="00000000" w:rsidP="00000000" w:rsidRDefault="00000000" w:rsidRPr="00000000" w14:paraId="00000015">
      <w:pPr>
        <w:spacing w:after="0" w:line="240" w:lineRule="auto"/>
        <w:ind w:left="2268"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 aspecto evidentemente dificulta soluções internacionais que atendam somente a uma ou outra dimensão. Como a recuperação de patrimônio cultural envolve inquestionável interesse público e, no modelo político prevalente, o Estado é seu principal vetor, o direito internacional público se insinua como campo ideal de normatização e disputa.</w:t>
      </w:r>
    </w:p>
    <w:p w:rsidR="00000000" w:rsidDel="00000000" w:rsidP="00000000" w:rsidRDefault="00000000" w:rsidRPr="00000000" w14:paraId="00000017">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Contudo, muitas das vezes os detentores do bem subtraído são particulares, com pouco ou nenhum envolvimento do Estado em que se situam. Às vezes, até mesmo o proprietário originário é um particular. Além disso, os litígios orientados à devolução desse patrimônio são frequentemente transfronteiriços, reclamando regras típicas de direito internacional privado (Chechi, 2014, p. 84).</w:t>
      </w:r>
    </w:p>
    <w:p w:rsidR="00000000" w:rsidDel="00000000" w:rsidP="00000000" w:rsidRDefault="00000000" w:rsidRPr="00000000" w14:paraId="00000018">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Exatamente nessas circunstâncias, a divisa entre direito internacional público e privado fraqueja. Na realidade, as duas disciplinas devem se encontrar e complementar (Arroyo, 2012). É uma demanda teórica, mas também prática. No cenário internacional contemporâneo, há diversas situações em que o jurista terá necessariamente que recorrer de forma concomitante ao direito internacional público e privado. Fóruns internacionais são crescentemente frequentados por atores privados, que influem nas normas decorrentes, inclusive de natureza convencional. Ao mesmo tempo, lides antes estritamente internas se sujeitam a regimes internacionais.</w:t>
      </w:r>
    </w:p>
    <w:p w:rsidR="00000000" w:rsidDel="00000000" w:rsidP="00000000" w:rsidRDefault="00000000" w:rsidRPr="00000000" w14:paraId="00000019">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 entrecruzamento é especialmente fecundo à cooperação jurídica internacional, um “conjunto de regras internacionais e nacionais que rege atos de colaboração entre Estados, ou mesmo entre Estados e organizações internacionais, com o objetivo de facilitar e concretizar o acesso à justiça” (Ramos, 2023). Esse conjunto é ao mesmo tempo radicado no direito internacional público e preocupado na efetivação transfronteiriça da tutela de direitos dos jurisdicionados.</w:t>
      </w:r>
    </w:p>
    <w:p w:rsidR="00000000" w:rsidDel="00000000" w:rsidP="00000000" w:rsidRDefault="00000000" w:rsidRPr="00000000" w14:paraId="0000001A">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estudo da cooperação jurídica internacional, é bom frisar, exige uma âncora de sistematização. Abordá-la sob um viés estruturalista permite evitar um conhecimento casuístico e particularista de seus institutos, carente de consistência conceitual e mesmo prática. Uma análise estruturalista compreende </w:t>
      </w:r>
      <w:r w:rsidDel="00000000" w:rsidR="00000000" w:rsidRPr="00000000">
        <w:rPr>
          <w:rFonts w:ascii="Times New Roman" w:cs="Times New Roman" w:eastAsia="Times New Roman" w:hAnsi="Times New Roman"/>
          <w:b w:val="1"/>
          <w:bCs w:val="1"/>
          <w:i w:val="1"/>
          <w:iCs w:val="1"/>
          <w:rtl w:val="0"/>
        </w:rPr>
        <w:t xml:space="preserve">(i)</w:t>
      </w:r>
      <w:r w:rsidDel="00000000" w:rsidR="00000000" w:rsidRPr="00000000">
        <w:rPr>
          <w:rFonts w:ascii="Times New Roman" w:cs="Times New Roman" w:eastAsia="Times New Roman" w:hAnsi="Times New Roman"/>
          <w:rtl w:val="0"/>
        </w:rPr>
        <w:t xml:space="preserve"> sujeitos, </w:t>
      </w:r>
      <w:r w:rsidDel="00000000" w:rsidR="00000000" w:rsidRPr="00000000">
        <w:rPr>
          <w:rFonts w:ascii="Times New Roman" w:cs="Times New Roman" w:eastAsia="Times New Roman" w:hAnsi="Times New Roman"/>
          <w:b w:val="1"/>
          <w:bCs w:val="1"/>
          <w:i w:val="1"/>
          <w:iCs w:val="1"/>
          <w:rtl w:val="0"/>
        </w:rPr>
        <w:t xml:space="preserve">(ii)</w:t>
      </w:r>
      <w:r w:rsidDel="00000000" w:rsidR="00000000" w:rsidRPr="00000000">
        <w:rPr>
          <w:rFonts w:ascii="Times New Roman" w:cs="Times New Roman" w:eastAsia="Times New Roman" w:hAnsi="Times New Roman"/>
          <w:rtl w:val="0"/>
        </w:rPr>
        <w:t xml:space="preserve"> vias de comunicação, </w:t>
      </w:r>
      <w:r w:rsidDel="00000000" w:rsidR="00000000" w:rsidRPr="00000000">
        <w:rPr>
          <w:rFonts w:ascii="Times New Roman" w:cs="Times New Roman" w:eastAsia="Times New Roman" w:hAnsi="Times New Roman"/>
          <w:b w:val="1"/>
          <w:bCs w:val="1"/>
          <w:i w:val="1"/>
          <w:iCs w:val="1"/>
          <w:rtl w:val="0"/>
        </w:rPr>
        <w:t xml:space="preserve">(iii)</w:t>
      </w:r>
      <w:r w:rsidDel="00000000" w:rsidR="00000000" w:rsidRPr="00000000">
        <w:rPr>
          <w:rFonts w:ascii="Times New Roman" w:cs="Times New Roman" w:eastAsia="Times New Roman" w:hAnsi="Times New Roman"/>
          <w:rtl w:val="0"/>
        </w:rPr>
        <w:t xml:space="preserve"> pedido e </w:t>
      </w:r>
      <w:r w:rsidDel="00000000" w:rsidR="00000000" w:rsidRPr="00000000">
        <w:rPr>
          <w:rFonts w:ascii="Times New Roman" w:cs="Times New Roman" w:eastAsia="Times New Roman" w:hAnsi="Times New Roman"/>
          <w:b w:val="1"/>
          <w:bCs w:val="1"/>
          <w:i w:val="1"/>
          <w:iCs w:val="1"/>
          <w:rtl w:val="0"/>
        </w:rPr>
        <w:t xml:space="preserve">(iv)</w:t>
      </w:r>
      <w:r w:rsidDel="00000000" w:rsidR="00000000" w:rsidRPr="00000000">
        <w:rPr>
          <w:rFonts w:ascii="Times New Roman" w:cs="Times New Roman" w:eastAsia="Times New Roman" w:hAnsi="Times New Roman"/>
          <w:rtl w:val="0"/>
        </w:rPr>
        <w:t xml:space="preserve"> veículo de transmissão do pedido</w:t>
      </w:r>
      <w:r w:rsidDel="00000000" w:rsidR="00000000" w:rsidRPr="00000000">
        <w:rPr>
          <w:rFonts w:ascii="Times New Roman" w:cs="Times New Roman" w:eastAsia="Times New Roman" w:hAnsi="Times New Roman"/>
          <w:vertAlign w:val="superscript"/>
        </w:rPr>
        <w:footnoteReference w:customMarkFollows="0" w:id="9"/>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B">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sujeitos diretos de uma relação cooperacional são os Estados soberanos e, em ocasião, organizações internacionais. A seu turno, os sujeitos indiretos são aqueles que terão seus direitos afetados pela relação estabelecida entre os sujeitos diretos. Aqui, entre outros, se inserem indivíduos, sociedades empresárias e pessoas jurídicas de toda a sorte. </w:t>
      </w:r>
    </w:p>
    <w:p w:rsidR="00000000" w:rsidDel="00000000" w:rsidP="00000000" w:rsidRDefault="00000000" w:rsidRPr="00000000" w14:paraId="0000001C">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Indo adiante, dentre outras possíveis, as mais comuns vias de comunicação para estabelecimento de uma relação de cooperação são: a diplomática, a da autoridade central e do contato direto. O elemento do pedido é o objeto, a pretensão acomodada no veículo. Alguns exemplos de pedidos lastreados em tratados são o pedido de envio de pessoa, de assistência jurídica, de reconhecimento e execução de decisão estrangeira e de transferência de sentenciado.</w:t>
      </w:r>
    </w:p>
    <w:p w:rsidR="00000000" w:rsidDel="00000000" w:rsidP="00000000" w:rsidRDefault="00000000" w:rsidRPr="00000000" w14:paraId="0000001D">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Finalmente, os veículos são os instrumentos que materializam e transmitem os pedidos. Exemplos simples são: a carta rogatória, a ação de extradição e a ação de homologação de decisão estrangeira. Registre-se que nada impede a convivência de múltiplos instrumentos de cooperação jurídica internacional para um mesmo tipo de pedido: a disponibilidade jurídica para transmitir pedido por um veículo não preclui a existência outros veículos disponíveis</w:t>
      </w:r>
      <w:r w:rsidDel="00000000" w:rsidR="00000000" w:rsidRPr="00000000">
        <w:rPr>
          <w:rFonts w:ascii="Times New Roman" w:cs="Times New Roman" w:eastAsia="Times New Roman" w:hAnsi="Times New Roman"/>
          <w:vertAlign w:val="superscript"/>
        </w:rPr>
        <w:footnoteReference w:customMarkFollows="0" w:id="10"/>
      </w:r>
      <w:r w:rsidDel="00000000" w:rsidR="00000000" w:rsidRPr="00000000">
        <w:rPr>
          <w:rFonts w:ascii="Times New Roman" w:cs="Times New Roman" w:eastAsia="Times New Roman" w:hAnsi="Times New Roman"/>
          <w:rtl w:val="0"/>
        </w:rPr>
        <w:t xml:space="preserve">. A opção por um ou outro veículo atrai restrições e possibilidades próprias</w:t>
      </w:r>
      <w:r w:rsidDel="00000000" w:rsidR="00000000" w:rsidRPr="00000000">
        <w:rPr>
          <w:rFonts w:ascii="Times New Roman" w:cs="Times New Roman" w:eastAsia="Times New Roman" w:hAnsi="Times New Roman"/>
          <w:vertAlign w:val="superscript"/>
        </w:rPr>
        <w:footnoteReference w:customMarkFollows="0" w:id="11"/>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E">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Feitos esses esclarecimentos e dentro dessa perspectiva, abre-se um caminho para avaliar as ferramentas de recuperação internacional de bens culturais previstas na Convenção da UNESCO de 1970 e na Convenção do UNIDROIT de 1995.</w:t>
      </w:r>
    </w:p>
    <w:p w:rsidR="00000000" w:rsidDel="00000000" w:rsidP="00000000" w:rsidRDefault="00000000" w:rsidRPr="00000000" w14:paraId="0000001F">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spacing w:after="0"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 A CONVENÇÃO DA UNESCO DE 1970 DO UNIDROIT DE 1995, SOBRETUDO</w:t>
      </w:r>
    </w:p>
    <w:p w:rsidR="00000000" w:rsidDel="00000000" w:rsidP="00000000" w:rsidRDefault="00000000" w:rsidRPr="00000000" w14:paraId="00000021">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Como antecipado, a Convenção da Unesco de 1970 e a Convenção do UNIDROIT de 1995 são as duas principais normativas internacionais de disciplina da recuperação internacional de bens culturais</w:t>
      </w:r>
      <w:r w:rsidDel="00000000" w:rsidR="00000000" w:rsidRPr="00000000">
        <w:rPr>
          <w:rFonts w:ascii="Times New Roman" w:cs="Times New Roman" w:eastAsia="Times New Roman" w:hAnsi="Times New Roman"/>
          <w:vertAlign w:val="superscript"/>
        </w:rPr>
        <w:footnoteReference w:customMarkFollows="0" w:id="12"/>
      </w:r>
      <w:r w:rsidDel="00000000" w:rsidR="00000000" w:rsidRPr="00000000">
        <w:rPr>
          <w:rFonts w:ascii="Times New Roman" w:cs="Times New Roman" w:eastAsia="Times New Roman" w:hAnsi="Times New Roman"/>
          <w:rtl w:val="0"/>
        </w:rPr>
        <w:t xml:space="preserve">. Elas estabelecem a base jurídica internacional mais consolidada para a formulação de pedidos dessa natureza entre os Estados partes e outros interessados.</w:t>
      </w:r>
    </w:p>
    <w:p w:rsidR="00000000" w:rsidDel="00000000" w:rsidP="00000000" w:rsidRDefault="00000000" w:rsidRPr="00000000" w14:paraId="00000023">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Convenção da UNESCO de 1970 expressamente veda a exportação irregular de bens culturais e obriga a devolução deles a seu Estado de origem. Note-se que o tratado prevê uma série de deveres de implementação pelo Estados partes, de modo que, em termos gerais, o instrumento carece de autoexecutoriedade. Isto é, ele prevê obrigações substantivas, mas depende de regulamentação subsequente para efetivá-las (Burgenthal, 1992, p. 319-320).</w:t>
      </w:r>
    </w:p>
    <w:p w:rsidR="00000000" w:rsidDel="00000000" w:rsidP="00000000" w:rsidRDefault="00000000" w:rsidRPr="00000000" w14:paraId="00000024">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Seu art. 7.b).ii impõe ao Estado em que o bem estiver o dever de recuperar bens culturais e restituí-los ao Estado de origem, mediante solicitação deste por via diplomática. Notadamente, o ônus probatório da demonstração de irregularidade ficou encarregado ao Estado solicitante, que também custeará as despesas de tramitação e eventual “</w:t>
      </w:r>
      <w:r w:rsidDel="00000000" w:rsidR="00000000" w:rsidRPr="00000000">
        <w:rPr>
          <w:rFonts w:ascii="Times New Roman" w:cs="Times New Roman" w:eastAsia="Times New Roman" w:hAnsi="Times New Roman"/>
          <w:i w:val="1"/>
          <w:iCs w:val="1"/>
          <w:rtl w:val="0"/>
        </w:rPr>
        <w:t xml:space="preserve">justa compensação a qualquer comprador de boa-fé ou a qualquer pessoal que detenha a propriedade legal daqueles bens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o artigo notoriamente restringe sua incidência à recuperação de bens roubados ou exportados após a entrada em vigor da convenção para os Estado interessados. A previsão, quiçá dispensável em vista do art. 28 da Convenção de Viena sobre Direito dos Tratados (CVDT)</w:t>
      </w:r>
      <w:r w:rsidDel="00000000" w:rsidR="00000000" w:rsidRPr="00000000">
        <w:rPr>
          <w:rFonts w:ascii="Times New Roman" w:cs="Times New Roman" w:eastAsia="Times New Roman" w:hAnsi="Times New Roman"/>
          <w:vertAlign w:val="superscript"/>
        </w:rPr>
        <w:footnoteReference w:customMarkFollows="0" w:id="13"/>
      </w:r>
      <w:r w:rsidDel="00000000" w:rsidR="00000000" w:rsidRPr="00000000">
        <w:rPr>
          <w:rFonts w:ascii="Times New Roman" w:cs="Times New Roman" w:eastAsia="Times New Roman" w:hAnsi="Times New Roman"/>
          <w:rtl w:val="0"/>
        </w:rPr>
        <w:t xml:space="preserve">, reforça a inaplicabilidade do tratado a fatos pretéritos à sua vigência. A atribuição de ônus importantes aos Estados solicitantes e da limitação temporal prospectiva, ao que tudo indica, visou dificultar a eficácia da restituição, por conta de interesses dos Estados que concentram a maior parte desse tipo de acervo irregular (Piagentini, 2021, p. 79-85).</w:t>
      </w:r>
    </w:p>
    <w:p w:rsidR="00000000" w:rsidDel="00000000" w:rsidP="00000000" w:rsidRDefault="00000000" w:rsidRPr="00000000" w14:paraId="00000026">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complemento ao art. 7º, o art. 13 da convenção obriga as partes a assegurarem a cooperação de seus órgãos “para facilitar a restituição o mais breve possível, a seu proprietário de direito, de bens culturais ilicitamente exportados” e a “admitir ações reivindicatórias de bens culturais roubados ou perdidos movidas por seus proprietários de direito ou em seu nome”. A redação dos dispositivos não é exauriente, mas sugere um dever estatal de implementá-los, por meio de normatização interna. </w:t>
      </w:r>
    </w:p>
    <w:p w:rsidR="00000000" w:rsidDel="00000000" w:rsidP="00000000" w:rsidRDefault="00000000" w:rsidRPr="00000000" w14:paraId="00000027">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período que seguiu a entrada em vigor da Convenção da UNESCO de 1970, foram identificadas lacunas importantes, oriundas essencialmente de aspectos de direito privado, que acabavam facilitando a circulação de bens culturais (Vrdoljak, 2024, p. 4). Assim, após um longo processo iniciado no âmbito da UNESCO, o UNIDROIT rascunhou um tratado que considerasse esses aspectos, o que resultou na Convenção do UNIDROIT de 1995. Esses traços congênitos revelam a relação íntima entre ambos os instrumentos. O tratado de 1995 funciona como uma espécie de protocolo ao de 1970, complementando-o</w:t>
      </w:r>
      <w:r w:rsidDel="00000000" w:rsidR="00000000" w:rsidRPr="00000000">
        <w:rPr>
          <w:rFonts w:ascii="Times New Roman" w:cs="Times New Roman" w:eastAsia="Times New Roman" w:hAnsi="Times New Roman"/>
          <w:vertAlign w:val="superscript"/>
        </w:rPr>
        <w:footnoteReference w:customMarkFollows="0" w:id="14"/>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8">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 Convenção da UNESCO de 1970 focava em procedimentos administrativos e diplomáticos para alcançar seus fins, a Convenção do UNIDROIT de 1995 focou em prover acesso direto dos lesados (particulares ou o próprio Estado) pela retirada irregular dos bens culturais aos tribunais dos Estados retentores desses bens (Blake, 2015, p. 42). Para processar causas fundadas no tratado, seu art. 8 estabeleceu jurisdição aos tribunais do Estado em que o bem estiver situado, em acréscimo a outras previstas em legislações internas. </w:t>
      </w:r>
    </w:p>
    <w:p w:rsidR="00000000" w:rsidDel="00000000" w:rsidP="00000000" w:rsidRDefault="00000000" w:rsidRPr="00000000" w14:paraId="00000029">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Observa-se que a convenção de 1995 é basicamente dividida em duas partes: uma dedicada à restituição de bens culturais furtados e outra ao retorno de bens culturais ilegalmente exportados. Contudo, essa demarcação não era visível no tratado de 1970. A grande diferença entre essas duas hipóteses (além da sua própria incidência concreta) é sobre quem tem a legitimidade ativa para formular a solicitação de devolução. </w:t>
      </w:r>
    </w:p>
    <w:p w:rsidR="00000000" w:rsidDel="00000000" w:rsidP="00000000" w:rsidRDefault="00000000" w:rsidRPr="00000000" w14:paraId="0000002A">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caso da exportação ilícita, apenas o Estado subtraído parece poder postular o retorno do bem cultural, perante o tribunal ou autoridade do Estado em que esse bem se encontra. Há certa margem para arguir que outros sujeitos seriam investidos de legitimidade para buscar tutela de normas de direito público, como as concernentes à licitude de exportação, mas essa construção depende de argumentação que não se infere claramente do texto convencional. Já em situação de furto do bem cultural, destaca-se que os particulares lesados também estão amparados pela convenção ao acionamento da jurisdição estrangeira em que se encontra o bem.</w:t>
      </w:r>
    </w:p>
    <w:p w:rsidR="00000000" w:rsidDel="00000000" w:rsidP="00000000" w:rsidRDefault="00000000" w:rsidRPr="00000000" w14:paraId="0000002B">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cabe menção à diferenciação entre os vocábulos de “restituição” e de “retorno”. Antes do tratado, predominava a visão de que “restituição” seria o termo apropriado para a devolução de bem cultural retirado de forma ilícita de um território, o que abrangeria ilicitude na posse e na exportação. Assim, o termo “retorno” seria direcionado para as devoluções sem clareza do caráter ilícito, da retirada do bem de um território, em especial em situações anteriores à consolidação do direito positivo aplicável</w:t>
      </w:r>
      <w:r w:rsidDel="00000000" w:rsidR="00000000" w:rsidRPr="00000000">
        <w:rPr>
          <w:rFonts w:ascii="Times New Roman" w:cs="Times New Roman" w:eastAsia="Times New Roman" w:hAnsi="Times New Roman"/>
          <w:vertAlign w:val="superscript"/>
        </w:rPr>
        <w:footnoteReference w:customMarkFollows="0" w:id="15"/>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C">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a emergência do instrumento de 1995, tornou-se mais clara a autonomia jurídica de cada instituto: a “restituição” se refere à devolução de bem cultural furtado e o “retorno” à devolução de bem cultural exportado de forma ilícita de um território, conforme o direito do Estado de origem (</w:t>
      </w:r>
      <w:r w:rsidDel="00000000" w:rsidR="00000000" w:rsidRPr="00000000">
        <w:rPr>
          <w:rFonts w:ascii="Times New Roman" w:cs="Times New Roman" w:eastAsia="Times New Roman" w:hAnsi="Times New Roman"/>
          <w:color w:val="000000"/>
          <w:rtl w:val="0"/>
        </w:rPr>
        <w:t xml:space="preserve">Piagentini, 2021, p. 89-90; NÉTO, 2024, p. 20)</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D">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Indo adiante, uma das grandes preocupações da convenção foi diluir as arguições de boa-fé, opostas pelos detentores dos bens culturais subtraídos. Esse esforço é resultante da experiência histórica da Convenção da UNESCO de 1970, que não havia considerado o ponto com a atenção necessária. Ainda nesse quesito, o tratado de 1995 previu indenização aos possuidores de boa-fé, a ser paga preferencialmente pelos alienadores e, em sua ausência, pelo próprio solicitante, que se sub-roga com direito de regresso (Blake, 2015, p. 44). Outra inovação importante foi quanto aos prazos prescricionais: unificou-se em três anos contados do momento em que o solicitante toma conhecimento do local do bem e da identidade de seu detentor, com um teto de cinquenta anos, contados do momento do furto (Blake, 2015, p. 45)</w:t>
      </w:r>
      <w:r w:rsidDel="00000000" w:rsidR="00000000" w:rsidRPr="00000000">
        <w:rPr>
          <w:rFonts w:ascii="Times New Roman" w:cs="Times New Roman" w:eastAsia="Times New Roman" w:hAnsi="Times New Roman"/>
          <w:vertAlign w:val="superscript"/>
        </w:rPr>
        <w:footnoteReference w:customMarkFollows="0" w:id="16"/>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E">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fim, tal como a Convenção da UNESCO de 1970, a Convenção do UNIDROIT de 1995 excluiu expressamente sua aplicação a casos pretéritos. Ou seja, </w:t>
      </w:r>
      <w:r w:rsidDel="00000000" w:rsidR="00000000" w:rsidRPr="00000000">
        <w:rPr>
          <w:rFonts w:ascii="Times New Roman" w:cs="Times New Roman" w:eastAsia="Times New Roman" w:hAnsi="Times New Roman"/>
          <w:i w:val="1"/>
          <w:iCs w:val="1"/>
          <w:rtl w:val="0"/>
        </w:rPr>
        <w:t xml:space="preserve">a priori</w:t>
      </w:r>
      <w:r w:rsidDel="00000000" w:rsidR="00000000" w:rsidRPr="00000000">
        <w:rPr>
          <w:rFonts w:ascii="Times New Roman" w:cs="Times New Roman" w:eastAsia="Times New Roman" w:hAnsi="Times New Roman"/>
          <w:rtl w:val="0"/>
        </w:rPr>
        <w:t xml:space="preserve">, somente furtos ou exportações ocorridas após sua entrada em vigor estão sujeitos às suas disposições. </w:t>
      </w:r>
    </w:p>
    <w:p w:rsidR="00000000" w:rsidDel="00000000" w:rsidP="00000000" w:rsidRDefault="00000000" w:rsidRPr="00000000" w14:paraId="0000002F">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Vistas ambas as convenções multilaterais principais à questão sob exame, convém mencionar ainda o papel dos tratados bilaterais em matéria de cooperação cultural. No Brasil, há mais de 40 tratados bilaterais dessa natureza em vigor, com Estados de todas as partes do mundo</w:t>
      </w:r>
      <w:r w:rsidDel="00000000" w:rsidR="00000000" w:rsidRPr="00000000">
        <w:rPr>
          <w:rFonts w:ascii="Times New Roman" w:cs="Times New Roman" w:eastAsia="Times New Roman" w:hAnsi="Times New Roman"/>
          <w:vertAlign w:val="superscript"/>
        </w:rPr>
        <w:footnoteReference w:customMarkFollows="0" w:id="17"/>
      </w:r>
      <w:r w:rsidDel="00000000" w:rsidR="00000000" w:rsidRPr="00000000">
        <w:rPr>
          <w:rFonts w:ascii="Times New Roman" w:cs="Times New Roman" w:eastAsia="Times New Roman" w:hAnsi="Times New Roman"/>
          <w:rtl w:val="0"/>
        </w:rPr>
        <w:t xml:space="preserve">. Alguns deles são mais específicos, explicitamente contemplando canais para devolução de bens culturais, inclusive pela via diplomática, contudo, são a exceção</w:t>
      </w:r>
      <w:r w:rsidDel="00000000" w:rsidR="00000000" w:rsidRPr="00000000">
        <w:rPr>
          <w:rFonts w:ascii="Times New Roman" w:cs="Times New Roman" w:eastAsia="Times New Roman" w:hAnsi="Times New Roman"/>
          <w:vertAlign w:val="superscript"/>
        </w:rPr>
        <w:footnoteReference w:customMarkFollows="0" w:id="18"/>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0">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Muitos desses tratados são vagos em suas previsões, aproximando-se de enunciados programáticos. Mesmo assim, podem cumprir uma função relevante no adensamento e interpretação das obrigações internacionais aplicáveis, compondo e reforçando os demais instrumentos. Exploradas as Convenções da UNESCO de 1970 e do UNIDROIT de 1995, o passo seguinte é localizar seus institutos no contexto da cooperação jurídica internacional, etapa prévia à delineação prática de seu manuseio.</w:t>
      </w:r>
    </w:p>
    <w:p w:rsidR="00000000" w:rsidDel="00000000" w:rsidP="00000000" w:rsidRDefault="00000000" w:rsidRPr="00000000" w14:paraId="00000031">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III - UM EXERCÍCIO DE TAXONOMIA: AS ESPÉCIES DE COOPERAÇÃO NAS CONVENÇÕES DA UNESCO DE 1970 E DO UNIDROIT DE 1995 SITUADAS NA ÓTICA ESTRUTURANTE</w:t>
      </w:r>
    </w:p>
    <w:p w:rsidR="00000000" w:rsidDel="00000000" w:rsidP="00000000" w:rsidRDefault="00000000" w:rsidRPr="00000000" w14:paraId="00000033">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partida, assinale-se que os mecanismos de cooperação previstos nos tratados são de natureza preponderantemente cível. Vale repisar que, em vista do interesse público subjacente à tutela do patrimônio cultural, é impossível repelir por completo influxos de direito público. É claro que a subtração de bens culturais frequentemente também se amolda a categorias criminais, com efeitos correspondentes, a ensejar, inclusive, eventual manejo de outros instrumentos de cooperação, como a Convenção de Palermo. Contudo, os meios de cooperação estabelecidos pelas Convenções da UNESCO de 1970 e do UNIDROIT de 1995 cuidam especificamente da tutela da propriedade e posse, sem finalidade persecutória.</w:t>
      </w:r>
    </w:p>
    <w:p w:rsidR="00000000" w:rsidDel="00000000" w:rsidP="00000000" w:rsidRDefault="00000000" w:rsidRPr="00000000" w14:paraId="00000035">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exercício proposto, este trabalho irá se socorrer das categorias estruturais de cooperação jurídica internacional já apresentadas anteriormente: sujeito, pedido, via de comunicação e veículo. A partir da leitura conjunta das convenções, entende-se que a devolução de bem cultural é uma categoria de pedido que se subdivide em pedido de restituição de bens culturais furtados e pedido de retorno de bem culturais ilicitamente exportados.</w:t>
      </w:r>
    </w:p>
    <w:p w:rsidR="00000000" w:rsidDel="00000000" w:rsidP="00000000" w:rsidRDefault="00000000" w:rsidRPr="00000000" w14:paraId="00000036">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art. 7.b).ii da Convenção da UNESCO de 1970 cria hipótese para formulação de pedido de devolução de bem cultural (pedido) pela via diplomática (via de comunicação) entre Estados-Partes (sujeitos). Dessume-se que o veículo do pedido será ofício, nota verbal ou outra forma de manifestação diplomática oficial (veículo) dirigida ao Estado requerido, que deve ser instruído das provas de que a subtração do bem foi ilícita. Em sendo satisfatórias as demonstrações, o Estado requerido deverá “tomar as medidas apropriadas (...) para recuperar e restituir quaisquer bens culturais roubados e importados”. Essa etapa dependerá fundamentalmente das disposições internas daquele Estado.</w:t>
      </w:r>
    </w:p>
    <w:p w:rsidR="00000000" w:rsidDel="00000000" w:rsidP="00000000" w:rsidRDefault="00000000" w:rsidRPr="00000000" w14:paraId="00000037">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seu turno, a Convenção do UNIDROIT de 1995, em seu art. 16, preconiza que os Estados partes devem indicar uma a três vias (via de comunicação) para processamento de pedido de devolução de bens culturais que estejam em seu território. São elas: </w:t>
      </w:r>
      <w:r w:rsidDel="00000000" w:rsidR="00000000" w:rsidRPr="00000000">
        <w:rPr>
          <w:rFonts w:ascii="Times New Roman" w:cs="Times New Roman" w:eastAsia="Times New Roman" w:hAnsi="Times New Roman"/>
          <w:b w:val="1"/>
          <w:bCs w:val="1"/>
          <w:i w:val="1"/>
          <w:iCs w:val="1"/>
          <w:rtl w:val="0"/>
        </w:rPr>
        <w:t xml:space="preserve">(i)</w:t>
      </w:r>
      <w:r w:rsidDel="00000000" w:rsidR="00000000" w:rsidRPr="00000000">
        <w:rPr>
          <w:rFonts w:ascii="Times New Roman" w:cs="Times New Roman" w:eastAsia="Times New Roman" w:hAnsi="Times New Roman"/>
          <w:rtl w:val="0"/>
        </w:rPr>
        <w:t xml:space="preserve"> direta, aos tribunais ou outras autoridades competentes; </w:t>
      </w:r>
      <w:r w:rsidDel="00000000" w:rsidR="00000000" w:rsidRPr="00000000">
        <w:rPr>
          <w:rFonts w:ascii="Times New Roman" w:cs="Times New Roman" w:eastAsia="Times New Roman" w:hAnsi="Times New Roman"/>
          <w:b w:val="1"/>
          <w:bCs w:val="1"/>
          <w:i w:val="1"/>
          <w:iCs w:val="1"/>
          <w:rtl w:val="0"/>
        </w:rPr>
        <w:t xml:space="preserve">(ii)</w:t>
      </w:r>
      <w:r w:rsidDel="00000000" w:rsidR="00000000" w:rsidRPr="00000000">
        <w:rPr>
          <w:rFonts w:ascii="Times New Roman" w:cs="Times New Roman" w:eastAsia="Times New Roman" w:hAnsi="Times New Roman"/>
          <w:rtl w:val="0"/>
        </w:rPr>
        <w:t xml:space="preserve"> por autoridade(s) central(is) designadas; e/ou </w:t>
      </w:r>
      <w:r w:rsidDel="00000000" w:rsidR="00000000" w:rsidRPr="00000000">
        <w:rPr>
          <w:rFonts w:ascii="Times New Roman" w:cs="Times New Roman" w:eastAsia="Times New Roman" w:hAnsi="Times New Roman"/>
          <w:b w:val="1"/>
          <w:bCs w:val="1"/>
          <w:i w:val="1"/>
          <w:iCs w:val="1"/>
          <w:rtl w:val="0"/>
        </w:rPr>
        <w:t xml:space="preserve">(iii)</w:t>
      </w:r>
      <w:r w:rsidDel="00000000" w:rsidR="00000000" w:rsidRPr="00000000">
        <w:rPr>
          <w:rFonts w:ascii="Times New Roman" w:cs="Times New Roman" w:eastAsia="Times New Roman" w:hAnsi="Times New Roman"/>
          <w:rtl w:val="0"/>
        </w:rPr>
        <w:t xml:space="preserve"> por canais diplomáticos ou consulares. Ou seja, requerentes de pedidos de devolução na forma do tratado devem consultar qual dessas vias foi indicada pelo Estado requerido.</w:t>
      </w:r>
    </w:p>
    <w:p w:rsidR="00000000" w:rsidDel="00000000" w:rsidP="00000000" w:rsidRDefault="00000000" w:rsidRPr="00000000" w14:paraId="00000038">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importante assinalar que o acesso direto a tribunais também contempla particulares, e não apenas Estados. Isso, pois seu art. 8º fixa a jurisdição judicial do Estado em que está o bem, para solucionar disputas concernentes a pedidos de retorno e de restituição de bem cultural. Nesse ponto, observa-se especial simbiose com o art. 13.c) da Convenção da UNESCO de 1970, que obriga os Estados a admitirem “ações reivindicatórias de bens culturais roubados ou perdidos por seus proprietários de direito ou em seu nome”.</w:t>
      </w:r>
    </w:p>
    <w:p w:rsidR="00000000" w:rsidDel="00000000" w:rsidP="00000000" w:rsidRDefault="00000000" w:rsidRPr="00000000" w14:paraId="00000039">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Dito isso, os arts. 3º e 5º da convenção de 1995 estabelecem que um Estado parte (sujeito) pode formular pedido de restituição de bem cultural furtado ou de retorno de bem cultural ilicitamente exportado (pedidos) perante um tribunal ou outra autoridade de outro Estado parte (sujeito). Caso o pleito seja formulado perante um tribunal, hipótese de legitimidade ativa também de particular lesado, será estabelecido contato processual direto (via de comunicação) em que se proporá ação judicial (veículo). Na hipótese de formulação do pedido a autoridade competente não-judicial, será acionada a via do contato administrativo direto, da autoridade central ou diplomática (vias de comunicação), mediante formalização de ofício, nota verbal ou manifestação análoga (veículos).</w:t>
      </w:r>
    </w:p>
    <w:p w:rsidR="00000000" w:rsidDel="00000000" w:rsidP="00000000" w:rsidRDefault="00000000" w:rsidRPr="00000000" w14:paraId="0000003A">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hipótese de pedido de retorno de bem cultural, o veículo deve ser instruído com os elementos probatórios necessários à aferição da ilicitude da exportação, bem como à avaliação de que a ausência do bem prejudicou </w:t>
      </w:r>
      <w:r w:rsidDel="00000000" w:rsidR="00000000" w:rsidRPr="00000000">
        <w:rPr>
          <w:rFonts w:ascii="Times New Roman" w:cs="Times New Roman" w:eastAsia="Times New Roman" w:hAnsi="Times New Roman"/>
          <w:b w:val="1"/>
          <w:bCs w:val="1"/>
          <w:i w:val="1"/>
          <w:iCs w:val="1"/>
          <w:rtl w:val="0"/>
        </w:rPr>
        <w:t xml:space="preserve">(i)</w:t>
      </w:r>
      <w:r w:rsidDel="00000000" w:rsidR="00000000" w:rsidRPr="00000000">
        <w:rPr>
          <w:rFonts w:ascii="Times New Roman" w:cs="Times New Roman" w:eastAsia="Times New Roman" w:hAnsi="Times New Roman"/>
          <w:rtl w:val="0"/>
        </w:rPr>
        <w:t xml:space="preserve"> a conservação material ou do contexto do bem; </w:t>
      </w:r>
      <w:r w:rsidDel="00000000" w:rsidR="00000000" w:rsidRPr="00000000">
        <w:rPr>
          <w:rFonts w:ascii="Times New Roman" w:cs="Times New Roman" w:eastAsia="Times New Roman" w:hAnsi="Times New Roman"/>
          <w:b w:val="1"/>
          <w:bCs w:val="1"/>
          <w:i w:val="1"/>
          <w:iCs w:val="1"/>
          <w:rtl w:val="0"/>
        </w:rPr>
        <w:t xml:space="preserve">(ii)</w:t>
      </w:r>
      <w:r w:rsidDel="00000000" w:rsidR="00000000" w:rsidRPr="00000000">
        <w:rPr>
          <w:rFonts w:ascii="Times New Roman" w:cs="Times New Roman" w:eastAsia="Times New Roman" w:hAnsi="Times New Roman"/>
          <w:rtl w:val="0"/>
        </w:rPr>
        <w:t xml:space="preserve"> a integridade do bem, em sendo ele complexo; </w:t>
      </w:r>
      <w:r w:rsidDel="00000000" w:rsidR="00000000" w:rsidRPr="00000000">
        <w:rPr>
          <w:rFonts w:ascii="Times New Roman" w:cs="Times New Roman" w:eastAsia="Times New Roman" w:hAnsi="Times New Roman"/>
          <w:b w:val="1"/>
          <w:bCs w:val="1"/>
          <w:i w:val="1"/>
          <w:iCs w:val="1"/>
          <w:rtl w:val="0"/>
        </w:rPr>
        <w:t xml:space="preserve">(iii)</w:t>
      </w:r>
      <w:r w:rsidDel="00000000" w:rsidR="00000000" w:rsidRPr="00000000">
        <w:rPr>
          <w:rFonts w:ascii="Times New Roman" w:cs="Times New Roman" w:eastAsia="Times New Roman" w:hAnsi="Times New Roman"/>
          <w:rtl w:val="0"/>
        </w:rPr>
        <w:t xml:space="preserve"> a conservação da informação relativa ao bem; </w:t>
      </w:r>
      <w:r w:rsidDel="00000000" w:rsidR="00000000" w:rsidRPr="00000000">
        <w:rPr>
          <w:rFonts w:ascii="Times New Roman" w:cs="Times New Roman" w:eastAsia="Times New Roman" w:hAnsi="Times New Roman"/>
          <w:b w:val="1"/>
          <w:bCs w:val="1"/>
          <w:i w:val="1"/>
          <w:iCs w:val="1"/>
          <w:rtl w:val="0"/>
        </w:rPr>
        <w:t xml:space="preserve">(iv)</w:t>
      </w:r>
      <w:r w:rsidDel="00000000" w:rsidR="00000000" w:rsidRPr="00000000">
        <w:rPr>
          <w:rFonts w:ascii="Times New Roman" w:cs="Times New Roman" w:eastAsia="Times New Roman" w:hAnsi="Times New Roman"/>
          <w:rtl w:val="0"/>
        </w:rPr>
        <w:t xml:space="preserve"> o uso tradicional ou ritual do bem por comunidade tradicional; ou </w:t>
      </w:r>
      <w:r w:rsidDel="00000000" w:rsidR="00000000" w:rsidRPr="00000000">
        <w:rPr>
          <w:rFonts w:ascii="Times New Roman" w:cs="Times New Roman" w:eastAsia="Times New Roman" w:hAnsi="Times New Roman"/>
          <w:b w:val="1"/>
          <w:bCs w:val="1"/>
          <w:i w:val="1"/>
          <w:iCs w:val="1"/>
          <w:rtl w:val="0"/>
        </w:rPr>
        <w:t xml:space="preserve">(v)</w:t>
      </w:r>
      <w:r w:rsidDel="00000000" w:rsidR="00000000" w:rsidRPr="00000000">
        <w:rPr>
          <w:rFonts w:ascii="Times New Roman" w:cs="Times New Roman" w:eastAsia="Times New Roman" w:hAnsi="Times New Roman"/>
          <w:rtl w:val="0"/>
        </w:rPr>
        <w:t xml:space="preserve"> que o bem é de importância cultural significativa. São exigências expressas do art. 5º (3) do tratado para deferimento do pedido.</w:t>
      </w:r>
    </w:p>
    <w:p w:rsidR="00000000" w:rsidDel="00000000" w:rsidP="00000000" w:rsidRDefault="00000000" w:rsidRPr="00000000" w14:paraId="0000003B">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São esses, em suma e sob a ótica estruturante, os caminhos e especificidades da cooperação jurídica internacional em matéria de recuperação de bem cultural no âmbito das convenções da UNESCO de 1970 e do UNIDROIT de 1995.</w:t>
      </w:r>
    </w:p>
    <w:p w:rsidR="00000000" w:rsidDel="00000000" w:rsidP="00000000" w:rsidRDefault="00000000" w:rsidRPr="00000000" w14:paraId="0000003C">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after="0"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IV - CONSIDERAÇÕES FINAIS</w:t>
      </w:r>
    </w:p>
    <w:p w:rsidR="00000000" w:rsidDel="00000000" w:rsidP="00000000" w:rsidRDefault="00000000" w:rsidRPr="00000000" w14:paraId="0000003E">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problema da evasão ilícita de patrimônio cultural acomete inúmeros Estados soberanos, com especial intensidade sobre as ex-colônias. Conforme apontado, o Brasil também é um desses Estados lesados, e parte das Convenções da UNESCO de 1970 e do UNIDROIT de 1995, respectivamente promulgadas pelos decretos nº 72.312/1973 e 3.166/1999. Esses dois instrumentos convencionais são as duas bases mais sólidas para recuperação de patrimônio cultural no âmbito do direito internacional. Ambos fornecem meios de cooperação jurídica internacional que merecem atenção.</w:t>
      </w:r>
    </w:p>
    <w:p w:rsidR="00000000" w:rsidDel="00000000" w:rsidP="00000000" w:rsidRDefault="00000000" w:rsidRPr="00000000" w14:paraId="0000003F">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 estudo mais rigoroso desses meios, voltado à sua utilização prática, exige um olhar que os acople de forma sistemática à cooperação jurídica internacional, evitando-se soluções casuísticas e inconsistentes. Adotou-se, então, uma abordagem estruturante do problema, com as categorias de sujeito, pedido, via de comunicação e veículo. Cotejando os tratados a elas, a seção antecedente delineou os caminhos disponíveis para a formulação de pedidos de devolução de bens culturais calçados nas convenções. Convém, por fim, indicar duas breves ressalvas, que acabam por limitar o escopo dessas iniciativas.</w:t>
      </w:r>
    </w:p>
    <w:p w:rsidR="00000000" w:rsidDel="00000000" w:rsidP="00000000" w:rsidRDefault="00000000" w:rsidRPr="00000000" w14:paraId="00000040">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Primeiro, os tratados só se aplicam prospectivamente. Isso evidentemente afeta a reclamação de bens culturais espoliados em décadas e séculos passados, mas pode estancar fluxos irregulares ainda existentes entre ex-colônias e ex-metrópoles. Segundo, os tratados não contam com adesão de vários dos Estados que são ex-metrópoles, em especial a Convenção do UNIDROIT de 1995. Trata-se de um entrave político, mais motivo de constrangimento do que de obrigação jurídica, por ora.</w:t>
      </w:r>
    </w:p>
    <w:p w:rsidR="00000000" w:rsidDel="00000000" w:rsidP="00000000" w:rsidRDefault="00000000" w:rsidRPr="00000000" w14:paraId="00000041">
      <w:pPr>
        <w:spacing w:after="0"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fim, compreende-se que em todo caso, os tratados não encerram todas as possibilidades jurídicas para solução desses problemas. Há meios por explorar tanto no âmbito do direito internacional quanto no direito interno de cada Estado. Ainda assim, ambas as convenções são marcos cruciais para a disputa política e jurídica em torno do patrimônio cultural expatriado. Seu uso para cooperação jurídica internacional – com domínio próprio e sistêmico de suas categorias – não deve ser menosprezado por Estados que buscam recuperar seu patrimônio cultural, inclusive pelo Brasil.</w:t>
      </w:r>
    </w:p>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pStyle w:val="Heading2"/>
        <w:spacing w:after="120" w:before="360" w:line="360" w:lineRule="auto"/>
        <w:jc w:val="both"/>
        <w:rPr>
          <w:rFonts w:ascii="Times New Roman" w:cs="Times New Roman" w:eastAsia="Times New Roman" w:hAnsi="Times New Roman"/>
          <w:b w:val="1"/>
          <w:bCs w:val="1"/>
        </w:rPr>
      </w:pPr>
      <w:bookmarkStart w:colFirst="0" w:colLast="0" w:name="_heading=h.5zqr2g76gmjc" w:id="0"/>
      <w:bookmarkEnd w:id="0"/>
      <w:r w:rsidDel="00000000" w:rsidR="00000000" w:rsidRPr="00000000">
        <w:rPr>
          <w:rFonts w:ascii="Times New Roman" w:cs="Times New Roman" w:eastAsia="Times New Roman" w:hAnsi="Times New Roman"/>
          <w:b w:val="1"/>
          <w:bCs w:val="1"/>
          <w:color w:val="000000"/>
          <w:sz w:val="24"/>
          <w:szCs w:val="24"/>
          <w:rtl w:val="0"/>
        </w:rPr>
        <w:t xml:space="preserve">REFERÊNCIAS</w:t>
      </w:r>
      <w:r w:rsidDel="00000000" w:rsidR="00000000" w:rsidRPr="00000000">
        <w:rPr>
          <w:rtl w:val="0"/>
        </w:rPr>
      </w:r>
    </w:p>
    <w:p w:rsidR="00000000" w:rsidDel="00000000" w:rsidP="00000000" w:rsidRDefault="00000000" w:rsidRPr="00000000" w14:paraId="0000004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ABADE, Denise Neves. Carta Rogatória e o Auxílio Direto na Cooperação Jurídica Internacional. </w:t>
      </w:r>
      <w:r w:rsidDel="00000000" w:rsidR="00000000" w:rsidRPr="00000000">
        <w:rPr>
          <w:rFonts w:ascii="Times New Roman" w:cs="Times New Roman" w:eastAsia="Times New Roman" w:hAnsi="Times New Roman"/>
          <w:i w:val="1"/>
          <w:iCs w:val="1"/>
          <w:rtl w:val="0"/>
        </w:rPr>
        <w:t xml:space="preserve">In</w:t>
      </w:r>
      <w:r w:rsidDel="00000000" w:rsidR="00000000" w:rsidRPr="00000000">
        <w:rPr>
          <w:rFonts w:ascii="Times New Roman" w:cs="Times New Roman" w:eastAsia="Times New Roman" w:hAnsi="Times New Roman"/>
          <w:rtl w:val="0"/>
        </w:rPr>
        <w:t xml:space="preserve">: RAMOS, André de Carvalho; MENEZES, Wagner (Org.). </w:t>
      </w:r>
      <w:r w:rsidDel="00000000" w:rsidR="00000000" w:rsidRPr="00000000">
        <w:rPr>
          <w:rFonts w:ascii="Times New Roman" w:cs="Times New Roman" w:eastAsia="Times New Roman" w:hAnsi="Times New Roman"/>
          <w:i w:val="1"/>
          <w:iCs w:val="1"/>
          <w:rtl w:val="0"/>
        </w:rPr>
        <w:t xml:space="preserve">Direito Internacional Privado e a nova cooperação jurídica internacional</w:t>
      </w:r>
      <w:r w:rsidDel="00000000" w:rsidR="00000000" w:rsidRPr="00000000">
        <w:rPr>
          <w:rFonts w:ascii="Times New Roman" w:cs="Times New Roman" w:eastAsia="Times New Roman" w:hAnsi="Times New Roman"/>
          <w:rtl w:val="0"/>
        </w:rPr>
        <w:t xml:space="preserve">. Belo Horizonte: Forum, 2014, p. 79-96.</w:t>
      </w:r>
    </w:p>
    <w:p w:rsidR="00000000" w:rsidDel="00000000" w:rsidP="00000000" w:rsidRDefault="00000000" w:rsidRPr="00000000" w14:paraId="00000045">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ARROYO, Diego P. Fernández. Refléxions autor du besoin réciproque entre le droit international priové et le droit international publique. </w:t>
      </w:r>
      <w:r w:rsidDel="00000000" w:rsidR="00000000" w:rsidRPr="00000000">
        <w:rPr>
          <w:rFonts w:ascii="Times New Roman" w:cs="Times New Roman" w:eastAsia="Times New Roman" w:hAnsi="Times New Roman"/>
          <w:i w:val="1"/>
          <w:iCs w:val="1"/>
          <w:rtl w:val="0"/>
        </w:rPr>
        <w:t xml:space="preserve">In: Le 90e anniversaire de Boutros Boutros-Ghali. Hommage du Curatorium à son Président</w:t>
      </w:r>
      <w:r w:rsidDel="00000000" w:rsidR="00000000" w:rsidRPr="00000000">
        <w:rPr>
          <w:rFonts w:ascii="Times New Roman" w:cs="Times New Roman" w:eastAsia="Times New Roman" w:hAnsi="Times New Roman"/>
          <w:rtl w:val="0"/>
        </w:rPr>
        <w:t xml:space="preserve">. Londres: Martinus Nijhoff, 2012, 113-135.</w:t>
      </w:r>
    </w:p>
    <w:p w:rsidR="00000000" w:rsidDel="00000000" w:rsidP="00000000" w:rsidRDefault="00000000" w:rsidRPr="00000000" w14:paraId="00000047">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BLAKE, Janet. </w:t>
      </w:r>
      <w:r w:rsidDel="00000000" w:rsidR="00000000" w:rsidRPr="00000000">
        <w:rPr>
          <w:rFonts w:ascii="Times New Roman" w:cs="Times New Roman" w:eastAsia="Times New Roman" w:hAnsi="Times New Roman"/>
          <w:i w:val="1"/>
          <w:iCs w:val="1"/>
          <w:rtl w:val="0"/>
        </w:rPr>
        <w:t xml:space="preserve">International Cultural Heritage Law</w:t>
      </w:r>
      <w:r w:rsidDel="00000000" w:rsidR="00000000" w:rsidRPr="00000000">
        <w:rPr>
          <w:rFonts w:ascii="Times New Roman" w:cs="Times New Roman" w:eastAsia="Times New Roman" w:hAnsi="Times New Roman"/>
          <w:rtl w:val="0"/>
        </w:rPr>
        <w:t xml:space="preserve">. New York: Oxford University Press, 2015.</w:t>
      </w:r>
    </w:p>
    <w:p w:rsidR="00000000" w:rsidDel="00000000" w:rsidP="00000000" w:rsidRDefault="00000000" w:rsidRPr="00000000" w14:paraId="00000049">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BURGENTHAL, Thomas. Self-Executing and Non-Self-Executing Treaties in National and International Law. </w:t>
      </w:r>
      <w:r w:rsidDel="00000000" w:rsidR="00000000" w:rsidRPr="00000000">
        <w:rPr>
          <w:rFonts w:ascii="Times New Roman" w:cs="Times New Roman" w:eastAsia="Times New Roman" w:hAnsi="Times New Roman"/>
          <w:i w:val="1"/>
          <w:iCs w:val="1"/>
          <w:rtl w:val="0"/>
        </w:rPr>
        <w:t xml:space="preserve">In: Collected Courses of the Hague Academy of International Law</w:t>
      </w:r>
      <w:r w:rsidDel="00000000" w:rsidR="00000000" w:rsidRPr="00000000">
        <w:rPr>
          <w:rFonts w:ascii="Times New Roman" w:cs="Times New Roman" w:eastAsia="Times New Roman" w:hAnsi="Times New Roman"/>
          <w:rtl w:val="0"/>
        </w:rPr>
        <w:t xml:space="preserve">, v. 235, pp. 303-400, 1992.</w:t>
      </w:r>
    </w:p>
    <w:p w:rsidR="00000000" w:rsidDel="00000000" w:rsidP="00000000" w:rsidRDefault="00000000" w:rsidRPr="00000000" w14:paraId="0000004B">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RAMOS, André de Carvalho. </w:t>
      </w:r>
      <w:r w:rsidDel="00000000" w:rsidR="00000000" w:rsidRPr="00000000">
        <w:rPr>
          <w:rFonts w:ascii="Times New Roman" w:cs="Times New Roman" w:eastAsia="Times New Roman" w:hAnsi="Times New Roman"/>
          <w:i w:val="1"/>
          <w:iCs w:val="1"/>
          <w:rtl w:val="0"/>
        </w:rPr>
        <w:t xml:space="preserve">Curso de Direito Internacional Privado</w:t>
      </w:r>
      <w:r w:rsidDel="00000000" w:rsidR="00000000" w:rsidRPr="00000000">
        <w:rPr>
          <w:rFonts w:ascii="Times New Roman" w:cs="Times New Roman" w:eastAsia="Times New Roman" w:hAnsi="Times New Roman"/>
          <w:rtl w:val="0"/>
        </w:rPr>
        <w:t xml:space="preserve">. 3ª ed, São Paulo: Saraiva, 2023.</w:t>
      </w:r>
    </w:p>
    <w:p w:rsidR="00000000" w:rsidDel="00000000" w:rsidP="00000000" w:rsidRDefault="00000000" w:rsidRPr="00000000" w14:paraId="0000004D">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CHECHI, Alessandro. </w:t>
      </w:r>
      <w:r w:rsidDel="00000000" w:rsidR="00000000" w:rsidRPr="00000000">
        <w:rPr>
          <w:rFonts w:ascii="Times New Roman" w:cs="Times New Roman" w:eastAsia="Times New Roman" w:hAnsi="Times New Roman"/>
          <w:i w:val="1"/>
          <w:iCs w:val="1"/>
          <w:rtl w:val="0"/>
        </w:rPr>
        <w:t xml:space="preserve">The Settlement of International Cultural Heritage Disputes</w:t>
      </w:r>
      <w:r w:rsidDel="00000000" w:rsidR="00000000" w:rsidRPr="00000000">
        <w:rPr>
          <w:rFonts w:ascii="Times New Roman" w:cs="Times New Roman" w:eastAsia="Times New Roman" w:hAnsi="Times New Roman"/>
          <w:rtl w:val="0"/>
        </w:rPr>
        <w:t xml:space="preserve">. New York: Oxford University Press, 2014.</w:t>
      </w:r>
    </w:p>
    <w:p w:rsidR="00000000" w:rsidDel="00000000" w:rsidP="00000000" w:rsidRDefault="00000000" w:rsidRPr="00000000" w14:paraId="0000004F">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FRANCIONI, Francesco. Public and Private in the International Protection of Global Cultural Goods. </w:t>
      </w:r>
      <w:r w:rsidDel="00000000" w:rsidR="00000000" w:rsidRPr="00000000">
        <w:rPr>
          <w:rFonts w:ascii="Times New Roman" w:cs="Times New Roman" w:eastAsia="Times New Roman" w:hAnsi="Times New Roman"/>
          <w:i w:val="1"/>
          <w:iCs w:val="1"/>
          <w:rtl w:val="0"/>
        </w:rPr>
        <w:t xml:space="preserve">European Journal of International Law</w:t>
      </w:r>
      <w:r w:rsidDel="00000000" w:rsidR="00000000" w:rsidRPr="00000000">
        <w:rPr>
          <w:rFonts w:ascii="Times New Roman" w:cs="Times New Roman" w:eastAsia="Times New Roman" w:hAnsi="Times New Roman"/>
          <w:rtl w:val="0"/>
        </w:rPr>
        <w:t xml:space="preserve">, v. 23, n. 3, 2012, p. 719-730.</w:t>
      </w:r>
    </w:p>
    <w:p w:rsidR="00000000" w:rsidDel="00000000" w:rsidP="00000000" w:rsidRDefault="00000000" w:rsidRPr="00000000" w14:paraId="00000051">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MENEZES, Wagner. Cooperação jurídica internacional e seus paradoxos. </w:t>
      </w:r>
      <w:r w:rsidDel="00000000" w:rsidR="00000000" w:rsidRPr="00000000">
        <w:rPr>
          <w:rFonts w:ascii="Times New Roman" w:cs="Times New Roman" w:eastAsia="Times New Roman" w:hAnsi="Times New Roman"/>
          <w:i w:val="1"/>
          <w:iCs w:val="1"/>
          <w:rtl w:val="0"/>
        </w:rPr>
        <w:t xml:space="preserve">In:</w:t>
      </w:r>
      <w:r w:rsidDel="00000000" w:rsidR="00000000" w:rsidRPr="00000000">
        <w:rPr>
          <w:rFonts w:ascii="Times New Roman" w:cs="Times New Roman" w:eastAsia="Times New Roman" w:hAnsi="Times New Roman"/>
          <w:rtl w:val="0"/>
        </w:rPr>
        <w:t xml:space="preserve"> CARVALHO RAMOS, André e MEZENES, Wagner (orgs.). </w:t>
      </w:r>
      <w:r w:rsidDel="00000000" w:rsidR="00000000" w:rsidRPr="00000000">
        <w:rPr>
          <w:rFonts w:ascii="Times New Roman" w:cs="Times New Roman" w:eastAsia="Times New Roman" w:hAnsi="Times New Roman"/>
          <w:i w:val="1"/>
          <w:iCs w:val="1"/>
          <w:rtl w:val="0"/>
        </w:rPr>
        <w:t xml:space="preserve">Direito Internacional Privado e a nova cooperação jurídica internacional</w:t>
      </w:r>
      <w:r w:rsidDel="00000000" w:rsidR="00000000" w:rsidRPr="00000000">
        <w:rPr>
          <w:rFonts w:ascii="Times New Roman" w:cs="Times New Roman" w:eastAsia="Times New Roman" w:hAnsi="Times New Roman"/>
          <w:rtl w:val="0"/>
        </w:rPr>
        <w:t xml:space="preserve">. Belo Horizonte: Arraes, 2015, p. 17-52.</w:t>
      </w:r>
    </w:p>
    <w:p w:rsidR="00000000" w:rsidDel="00000000" w:rsidP="00000000" w:rsidRDefault="00000000" w:rsidRPr="00000000" w14:paraId="00000053">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NÉTO, Pedro Henrique Monteiro de Barbosa da Silva. </w:t>
      </w:r>
      <w:r w:rsidDel="00000000" w:rsidR="00000000" w:rsidRPr="00000000">
        <w:rPr>
          <w:rFonts w:ascii="Times New Roman" w:cs="Times New Roman" w:eastAsia="Times New Roman" w:hAnsi="Times New Roman"/>
          <w:i w:val="1"/>
          <w:iCs w:val="1"/>
          <w:rtl w:val="0"/>
        </w:rPr>
        <w:t xml:space="preserve">A Proteção do Patrimônio Cultural: as lacunas e as ferramentas do Direito Internacional para o combate ao comércio ilícito de bens culturais</w:t>
      </w:r>
      <w:r w:rsidDel="00000000" w:rsidR="00000000" w:rsidRPr="00000000">
        <w:rPr>
          <w:rFonts w:ascii="Times New Roman" w:cs="Times New Roman" w:eastAsia="Times New Roman" w:hAnsi="Times New Roman"/>
          <w:rtl w:val="0"/>
        </w:rPr>
        <w:t xml:space="preserve">. Dissertação de Mestrado. Brasília: Universidade de Brasília, 2024.</w:t>
      </w:r>
    </w:p>
    <w:p w:rsidR="00000000" w:rsidDel="00000000" w:rsidP="00000000" w:rsidRDefault="00000000" w:rsidRPr="00000000" w14:paraId="00000055">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PIAGENTINI, Luiz Guilherme de Souza. </w:t>
      </w:r>
      <w:r w:rsidDel="00000000" w:rsidR="00000000" w:rsidRPr="00000000">
        <w:rPr>
          <w:rFonts w:ascii="Times New Roman" w:cs="Times New Roman" w:eastAsia="Times New Roman" w:hAnsi="Times New Roman"/>
          <w:i w:val="1"/>
          <w:iCs w:val="1"/>
          <w:rtl w:val="0"/>
        </w:rPr>
        <w:t xml:space="preserve">O retorno e a restituição de bens culturais: a extensão de sua aplicação pós-moderna sob uma perspectiva transcivilizacional</w:t>
      </w:r>
      <w:r w:rsidDel="00000000" w:rsidR="00000000" w:rsidRPr="00000000">
        <w:rPr>
          <w:rFonts w:ascii="Times New Roman" w:cs="Times New Roman" w:eastAsia="Times New Roman" w:hAnsi="Times New Roman"/>
          <w:rtl w:val="0"/>
        </w:rPr>
        <w:t xml:space="preserve">. Dissertação de Mestrado. São Paulo: Universidade de São Paulo, 2021.</w:t>
      </w:r>
    </w:p>
    <w:p w:rsidR="00000000" w:rsidDel="00000000" w:rsidP="00000000" w:rsidRDefault="00000000" w:rsidRPr="00000000" w14:paraId="00000057">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PROTT, Lyndel V. </w:t>
      </w:r>
      <w:r w:rsidDel="00000000" w:rsidR="00000000" w:rsidRPr="00000000">
        <w:rPr>
          <w:rFonts w:ascii="Times New Roman" w:cs="Times New Roman" w:eastAsia="Times New Roman" w:hAnsi="Times New Roman"/>
          <w:i w:val="1"/>
          <w:iCs w:val="1"/>
          <w:rtl w:val="0"/>
        </w:rPr>
        <w:t xml:space="preserve">Commentary on the UNIDROIT Convention on Stolen and Illegally Exported Cultural Objects 1995</w:t>
      </w:r>
      <w:r w:rsidDel="00000000" w:rsidR="00000000" w:rsidRPr="00000000">
        <w:rPr>
          <w:rFonts w:ascii="Times New Roman" w:cs="Times New Roman" w:eastAsia="Times New Roman" w:hAnsi="Times New Roman"/>
          <w:rtl w:val="0"/>
        </w:rPr>
        <w:t xml:space="preserve">. Londres: Institute of Art and Law, 1997. </w:t>
      </w:r>
    </w:p>
    <w:p w:rsidR="00000000" w:rsidDel="00000000" w:rsidP="00000000" w:rsidRDefault="00000000" w:rsidRPr="00000000" w14:paraId="00000059">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PROTT, Lyndel V. The Fight against Illicit Traffic of Cultural Property: The 1970 Convention: Past and Future, 15-16 March 2011. </w:t>
      </w:r>
      <w:r w:rsidDel="00000000" w:rsidR="00000000" w:rsidRPr="00000000">
        <w:rPr>
          <w:rFonts w:ascii="Times New Roman" w:cs="Times New Roman" w:eastAsia="Times New Roman" w:hAnsi="Times New Roman"/>
          <w:i w:val="1"/>
          <w:iCs w:val="1"/>
          <w:rtl w:val="0"/>
        </w:rPr>
        <w:t xml:space="preserve">International Journal of Cultural Property</w:t>
      </w:r>
      <w:r w:rsidDel="00000000" w:rsidR="00000000" w:rsidRPr="00000000">
        <w:rPr>
          <w:rFonts w:ascii="Times New Roman" w:cs="Times New Roman" w:eastAsia="Times New Roman" w:hAnsi="Times New Roman"/>
          <w:rtl w:val="0"/>
        </w:rPr>
        <w:t xml:space="preserve">, v. 18, n. 4, 2011, p. 437-442.</w:t>
      </w:r>
    </w:p>
    <w:p w:rsidR="00000000" w:rsidDel="00000000" w:rsidP="00000000" w:rsidRDefault="00000000" w:rsidRPr="00000000" w14:paraId="0000005B">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SALIBA, Aziz; FABRIS, Alice Lopes. O retorno de bens culturais. </w:t>
      </w:r>
      <w:r w:rsidDel="00000000" w:rsidR="00000000" w:rsidRPr="00000000">
        <w:rPr>
          <w:rFonts w:ascii="Times New Roman" w:cs="Times New Roman" w:eastAsia="Times New Roman" w:hAnsi="Times New Roman"/>
          <w:i w:val="1"/>
          <w:iCs w:val="1"/>
          <w:rtl w:val="0"/>
        </w:rPr>
        <w:t xml:space="preserve">Revista de Direito Internacional</w:t>
      </w:r>
      <w:r w:rsidDel="00000000" w:rsidR="00000000" w:rsidRPr="00000000">
        <w:rPr>
          <w:rFonts w:ascii="Times New Roman" w:cs="Times New Roman" w:eastAsia="Times New Roman" w:hAnsi="Times New Roman"/>
          <w:rtl w:val="0"/>
        </w:rPr>
        <w:t xml:space="preserve">, v. 14, n. 2, 2017, p. 489-509.</w:t>
      </w:r>
    </w:p>
    <w:p w:rsidR="00000000" w:rsidDel="00000000" w:rsidP="00000000" w:rsidRDefault="00000000" w:rsidRPr="00000000" w14:paraId="0000005D">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STEWENS, Paul Philipp. “Ubirajara” and Irritator Belong to Brazil: Achieving Fossil Returns Under German Private Law. </w:t>
      </w:r>
      <w:r w:rsidDel="00000000" w:rsidR="00000000" w:rsidRPr="00000000">
        <w:rPr>
          <w:rFonts w:ascii="Times New Roman" w:cs="Times New Roman" w:eastAsia="Times New Roman" w:hAnsi="Times New Roman"/>
          <w:i w:val="1"/>
          <w:iCs w:val="1"/>
          <w:rtl w:val="0"/>
        </w:rPr>
        <w:t xml:space="preserve">International Journal of Cultural Property</w:t>
      </w:r>
      <w:r w:rsidDel="00000000" w:rsidR="00000000" w:rsidRPr="00000000">
        <w:rPr>
          <w:rFonts w:ascii="Times New Roman" w:cs="Times New Roman" w:eastAsia="Times New Roman" w:hAnsi="Times New Roman"/>
          <w:rtl w:val="0"/>
        </w:rPr>
        <w:t xml:space="preserve">, v. 30, 2023, p. 298-318.</w:t>
      </w:r>
    </w:p>
    <w:p w:rsidR="00000000" w:rsidDel="00000000" w:rsidP="00000000" w:rsidRDefault="00000000" w:rsidRPr="00000000" w14:paraId="0000005F">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VRDOLJAK, Ana Filipa. Introduction. </w:t>
      </w:r>
      <w:r w:rsidDel="00000000" w:rsidR="00000000" w:rsidRPr="00000000">
        <w:rPr>
          <w:rFonts w:ascii="Times New Roman" w:cs="Times New Roman" w:eastAsia="Times New Roman" w:hAnsi="Times New Roman"/>
          <w:i w:val="1"/>
          <w:iCs w:val="1"/>
          <w:rtl w:val="0"/>
        </w:rPr>
        <w:t xml:space="preserve">In:</w:t>
      </w:r>
      <w:r w:rsidDel="00000000" w:rsidR="00000000" w:rsidRPr="00000000">
        <w:rPr>
          <w:rFonts w:ascii="Times New Roman" w:cs="Times New Roman" w:eastAsia="Times New Roman" w:hAnsi="Times New Roman"/>
          <w:rtl w:val="0"/>
        </w:rPr>
        <w:t xml:space="preserve"> VRDOLJAK, Ana Filipa; JAKUBOWSKI, Andrzej; CHECHI, Alessandro (Org.)</w:t>
      </w:r>
      <w:r w:rsidDel="00000000" w:rsidR="00000000" w:rsidRPr="00000000">
        <w:rPr>
          <w:rFonts w:ascii="Times New Roman" w:cs="Times New Roman" w:eastAsia="Times New Roman" w:hAnsi="Times New Roman"/>
          <w:i w:val="1"/>
          <w:iCs w:val="1"/>
          <w:rtl w:val="0"/>
        </w:rPr>
        <w:t xml:space="preserve"> The 1970 UNESCO and 1995 UNIDROIT Conventions on Illegally Transferred Cultural Property: A Commentary</w:t>
      </w:r>
      <w:r w:rsidDel="00000000" w:rsidR="00000000" w:rsidRPr="00000000">
        <w:rPr>
          <w:rFonts w:ascii="Times New Roman" w:cs="Times New Roman" w:eastAsia="Times New Roman" w:hAnsi="Times New Roman"/>
          <w:rtl w:val="0"/>
        </w:rPr>
        <w:t xml:space="preserve">. New York: Oxford University Press, 2024, p.3-30.</w:t>
      </w:r>
    </w:p>
    <w:sectPr>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Bacharel em direito pela Universidade Federal do Rio de Janeiro (UFRJ). Mestre em Direito Internacional pela</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Fonts w:ascii="Times New Roman" w:cs="Times New Roman" w:eastAsia="Times New Roman" w:hAnsi="Times New Roman"/>
          <w:sz w:val="20"/>
          <w:szCs w:val="20"/>
          <w:rtl w:val="0"/>
        </w:rPr>
        <w:t xml:space="preserve">Universidade do Estado do Rio de Janeiro (UERJ).</w:t>
      </w:r>
      <w:r w:rsidDel="00000000" w:rsidR="00000000" w:rsidRPr="00000000">
        <w:rPr>
          <w:rtl w:val="0"/>
        </w:rPr>
      </w:r>
    </w:p>
  </w:footnote>
  <w:footnote w:id="1">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Além disso, há casos em que o próprio Estado brasileiro é cobrado por reter patrimônio cultural de outros Estados. Para uma investigação aprofundada do pleito paraguaio em relação ao canhão </w:t>
      </w:r>
      <w:r w:rsidDel="00000000" w:rsidR="00000000" w:rsidRPr="00000000">
        <w:rPr>
          <w:rFonts w:ascii="Times New Roman" w:cs="Times New Roman" w:eastAsia="Times New Roman" w:hAnsi="Times New Roman"/>
          <w:i w:val="1"/>
          <w:iCs w:val="1"/>
          <w:color w:val="000000"/>
          <w:sz w:val="20"/>
          <w:szCs w:val="20"/>
          <w:rtl w:val="0"/>
        </w:rPr>
        <w:t xml:space="preserve">El Cristiano</w:t>
      </w:r>
      <w:r w:rsidDel="00000000" w:rsidR="00000000" w:rsidRPr="00000000">
        <w:rPr>
          <w:rFonts w:ascii="Times New Roman" w:cs="Times New Roman" w:eastAsia="Times New Roman" w:hAnsi="Times New Roman"/>
          <w:color w:val="000000"/>
          <w:sz w:val="20"/>
          <w:szCs w:val="20"/>
          <w:rtl w:val="0"/>
        </w:rPr>
        <w:t xml:space="preserve">, ver Saliba e Fabris, 2017.</w:t>
      </w:r>
    </w:p>
  </w:footnote>
  <w:footnote w:id="2">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Como sintoma, cite-se a Ação Civil Pública nº 5001796-29.2024.4.02.5101, litígio de claras feições estruturais distribuído à 4ª Vara Federal da Seção Judiciária do Rio de Janeiro pelo Ministério Público Federal contra o Instituto do Patrimônio Histórico Cultural (IPHAN), a União Federal e o Instituto Brasileiro de Museus (IBRAM). Nele, em suma, o MPF pretende obrigar os demandados a elaborarem listas de bens culturais desaparecidos, formularem sistema de prevenção e repressão ao furto roubo e tráfico desses bens, contatarem instituições estrangeiras para repatriação dos bens já identificados e criarem planos de atuação. No momento de elaboração deste trabalho, o feito estava sob instrução, ainda pendente de sentença.</w:t>
      </w:r>
    </w:p>
  </w:footnote>
  <w:footnote w:id="3">
    <w:p w:rsidR="00000000" w:rsidDel="00000000" w:rsidP="00000000" w:rsidRDefault="00000000" w:rsidRPr="00000000" w14:paraId="00000065">
      <w:pPr>
        <w:spacing w:after="0" w:line="240" w:lineRule="auto"/>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A volta do Ubirajara: conheça a história do fóssil cearense devolvido ao Brasil após quase 30 anos na Alemanha</w:t>
      </w:r>
      <w:r w:rsidDel="00000000" w:rsidR="00000000" w:rsidRPr="00000000">
        <w:rPr>
          <w:rFonts w:ascii="Times New Roman" w:cs="Times New Roman" w:eastAsia="Times New Roman" w:hAnsi="Times New Roman"/>
          <w:sz w:val="20"/>
          <w:szCs w:val="20"/>
          <w:rtl w:val="0"/>
        </w:rPr>
        <w:t xml:space="preserve">” (G1. Disponível em: https://g1.globo.com/ce/ceara/noticia/2023/06/11/a-volta-do-ubirajara-conheca-a-historia-do-fossil-cearense-devolvido-ao-brasil-apos-quase-30-anos-na-alemanha.ghtml. Acesso em: 01/02/2026; “</w:t>
      </w:r>
      <w:r w:rsidDel="00000000" w:rsidR="00000000" w:rsidRPr="00000000">
        <w:rPr>
          <w:rFonts w:ascii="Times New Roman" w:cs="Times New Roman" w:eastAsia="Times New Roman" w:hAnsi="Times New Roman"/>
          <w:i w:val="1"/>
          <w:iCs w:val="1"/>
          <w:sz w:val="20"/>
          <w:szCs w:val="20"/>
          <w:rtl w:val="0"/>
        </w:rPr>
        <w:t xml:space="preserve">O fóssil do dinossauro Ubirajara volta ao Brasil</w:t>
      </w:r>
      <w:r w:rsidDel="00000000" w:rsidR="00000000" w:rsidRPr="00000000">
        <w:rPr>
          <w:rFonts w:ascii="Times New Roman" w:cs="Times New Roman" w:eastAsia="Times New Roman" w:hAnsi="Times New Roman"/>
          <w:sz w:val="20"/>
          <w:szCs w:val="20"/>
          <w:rtl w:val="0"/>
        </w:rPr>
        <w:t xml:space="preserve">” (Revista Piauí. Disponível em: https://piaui.folha.uol.com.br/materia/volta-do-ubirajara/. Acesso em: 01/02/2026).</w:t>
      </w:r>
    </w:p>
  </w:footnote>
  <w:footnote w:id="4">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“Em busca das peças saqueadas: fósseis extraídos ilegalmente do Ceará voltam ao Brasil” (Agência Pública. Disponível em: </w:t>
      </w:r>
      <w:r w:rsidDel="00000000" w:rsidR="00000000" w:rsidRPr="00000000">
        <w:rPr>
          <w:rFonts w:ascii="Times New Roman" w:cs="Times New Roman" w:eastAsia="Times New Roman" w:hAnsi="Times New Roman"/>
          <w:color w:val="467886"/>
          <w:sz w:val="20"/>
          <w:szCs w:val="20"/>
          <w:u w:val="single"/>
          <w:rtl w:val="0"/>
        </w:rPr>
        <w:t xml:space="preserve">https://apublica.org/2024/07/em-busca-das-pecas-saqueadas-fosseis-extraidos-</w:t>
      </w:r>
      <w:hyperlink r:id="rId1">
        <w:r w:rsidDel="00000000" w:rsidR="00000000" w:rsidRPr="00000000">
          <w:rPr>
            <w:rFonts w:ascii="Times New Roman" w:cs="Times New Roman" w:eastAsia="Times New Roman" w:hAnsi="Times New Roman"/>
            <w:color w:val="467886"/>
            <w:sz w:val="20"/>
            <w:szCs w:val="20"/>
            <w:u w:val="single"/>
            <w:rtl w:val="0"/>
          </w:rPr>
          <w:t xml:space="preserve">ilegalmente-do-ceara-voltam-ao-brasil/</w:t>
        </w:r>
      </w:hyperlink>
      <w:hyperlink r:id="rId2">
        <w:r w:rsidDel="00000000" w:rsidR="00000000" w:rsidRPr="00000000">
          <w:rPr>
            <w:rFonts w:ascii="Times New Roman" w:cs="Times New Roman" w:eastAsia="Times New Roman" w:hAnsi="Times New Roman"/>
            <w:color w:val="000000"/>
            <w:sz w:val="20"/>
            <w:szCs w:val="20"/>
            <w:rtl w:val="0"/>
          </w:rPr>
          <w:t xml:space="preserve">. </w:t>
        </w:r>
      </w:hyperlink>
      <w:r w:rsidDel="00000000" w:rsidR="00000000" w:rsidRPr="00000000">
        <w:rPr>
          <w:rFonts w:ascii="Times New Roman" w:cs="Times New Roman" w:eastAsia="Times New Roman" w:hAnsi="Times New Roman"/>
          <w:color w:val="000000"/>
          <w:sz w:val="20"/>
          <w:szCs w:val="20"/>
          <w:rtl w:val="0"/>
        </w:rPr>
        <w:t xml:space="preserve">Acesso em: 01/02/2026).</w:t>
      </w:r>
    </w:p>
  </w:footnote>
  <w:footnote w:id="5">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Manto Tupinambá´: entenda como o item repatriado era usado em rituais antropofágicos e por</w:t>
        <w:br w:type="textWrapping"/>
        <w:t xml:space="preserve">lideranças indígenas no Brasil” </w:t>
      </w:r>
      <w:r w:rsidDel="00000000" w:rsidR="00000000" w:rsidRPr="00000000">
        <w:rPr>
          <w:rFonts w:ascii="Times New Roman" w:cs="Times New Roman" w:eastAsia="Times New Roman" w:hAnsi="Times New Roman"/>
          <w:color w:val="000000"/>
          <w:sz w:val="20"/>
          <w:szCs w:val="20"/>
          <w:rtl w:val="0"/>
        </w:rPr>
        <w:t xml:space="preserve">(G1. disponível em: </w:t>
      </w:r>
      <w:hyperlink r:id="rId3">
        <w:r w:rsidDel="00000000" w:rsidR="00000000" w:rsidRPr="00000000">
          <w:rPr>
            <w:rFonts w:ascii="Times New Roman" w:cs="Times New Roman" w:eastAsia="Times New Roman" w:hAnsi="Times New Roman"/>
            <w:color w:val="467886"/>
            <w:sz w:val="20"/>
            <w:szCs w:val="20"/>
            <w:u w:val="single"/>
            <w:rtl w:val="0"/>
          </w:rPr>
          <w:t xml:space="preserve">https://g1.globo.com/rj/rio-de-janeiro/noticia/2024/07/13/manto-tupinamba-entenda-como-o-item-repatriado-era-usado-em-rituais-antropofagicos-e-por-liderancas-indigenas-no-brasil.ghtml</w:t>
        </w:r>
      </w:hyperlink>
      <w:hyperlink r:id="rId4">
        <w:r w:rsidDel="00000000" w:rsidR="00000000" w:rsidRPr="00000000">
          <w:rPr>
            <w:rFonts w:ascii="Times New Roman" w:cs="Times New Roman" w:eastAsia="Times New Roman" w:hAnsi="Times New Roman"/>
            <w:color w:val="000000"/>
            <w:sz w:val="20"/>
            <w:szCs w:val="20"/>
            <w:rtl w:val="0"/>
          </w:rPr>
          <w:t xml:space="preserve">. </w:t>
        </w:r>
      </w:hyperlink>
      <w:r w:rsidDel="00000000" w:rsidR="00000000" w:rsidRPr="00000000">
        <w:rPr>
          <w:rFonts w:ascii="Times New Roman" w:cs="Times New Roman" w:eastAsia="Times New Roman" w:hAnsi="Times New Roman"/>
          <w:color w:val="000000"/>
          <w:sz w:val="20"/>
          <w:szCs w:val="20"/>
          <w:rtl w:val="0"/>
        </w:rPr>
        <w:t xml:space="preserve">Acesso em: 01/02/2026).</w:t>
      </w:r>
    </w:p>
  </w:footnote>
  <w:footnote w:id="6">
    <w:p w:rsidR="00000000" w:rsidDel="00000000" w:rsidP="00000000" w:rsidRDefault="00000000" w:rsidRPr="00000000" w14:paraId="00000068">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Justiça dos EUA determina que esmeralda de quase 380 kg encontrada na Bahia seja devolvida ao</w:t>
        <w:br w:type="textWrapping"/>
        <w:t xml:space="preserve">Brasil</w:t>
      </w:r>
      <w:r w:rsidDel="00000000" w:rsidR="00000000" w:rsidRPr="00000000">
        <w:rPr>
          <w:rFonts w:ascii="Times New Roman" w:cs="Times New Roman" w:eastAsia="Times New Roman" w:hAnsi="Times New Roman"/>
          <w:color w:val="000000"/>
          <w:sz w:val="20"/>
          <w:szCs w:val="20"/>
          <w:rtl w:val="0"/>
        </w:rPr>
        <w:t xml:space="preserve">” (G1. Disponível em: </w:t>
      </w:r>
      <w:hyperlink r:id="rId5">
        <w:r w:rsidDel="00000000" w:rsidR="00000000" w:rsidRPr="00000000">
          <w:rPr>
            <w:rFonts w:ascii="Times New Roman" w:cs="Times New Roman" w:eastAsia="Times New Roman" w:hAnsi="Times New Roman"/>
            <w:color w:val="467886"/>
            <w:sz w:val="20"/>
            <w:szCs w:val="20"/>
            <w:u w:val="single"/>
            <w:rtl w:val="0"/>
          </w:rPr>
          <w:t xml:space="preserve">https://g1.globo.com/ba/bahia/noticia/2024/11/22/decisao-justica-eua-esmeralda-bahia.ghtml</w:t>
        </w:r>
      </w:hyperlink>
      <w:hyperlink r:id="rId6">
        <w:r w:rsidDel="00000000" w:rsidR="00000000" w:rsidRPr="00000000">
          <w:rPr>
            <w:rFonts w:ascii="Times New Roman" w:cs="Times New Roman" w:eastAsia="Times New Roman" w:hAnsi="Times New Roman"/>
            <w:color w:val="000000"/>
            <w:sz w:val="20"/>
            <w:szCs w:val="20"/>
            <w:rtl w:val="0"/>
          </w:rPr>
          <w:t xml:space="preserve">. </w:t>
        </w:r>
      </w:hyperlink>
      <w:r w:rsidDel="00000000" w:rsidR="00000000" w:rsidRPr="00000000">
        <w:rPr>
          <w:rFonts w:ascii="Times New Roman" w:cs="Times New Roman" w:eastAsia="Times New Roman" w:hAnsi="Times New Roman"/>
          <w:color w:val="000000"/>
          <w:sz w:val="20"/>
          <w:szCs w:val="20"/>
          <w:rtl w:val="0"/>
        </w:rPr>
        <w:t xml:space="preserve">Acesso em: Acesso em: 01/02/2026)</w:t>
      </w:r>
    </w:p>
  </w:footnote>
  <w:footnote w:id="7">
    <w:p w:rsidR="00000000" w:rsidDel="00000000" w:rsidP="00000000" w:rsidRDefault="00000000" w:rsidRPr="00000000" w14:paraId="00000069">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E.g., </w:t>
      </w:r>
      <w:r w:rsidDel="00000000" w:rsidR="00000000" w:rsidRPr="00000000">
        <w:rPr>
          <w:rFonts w:ascii="Times New Roman" w:cs="Times New Roman" w:eastAsia="Times New Roman" w:hAnsi="Times New Roman"/>
          <w:color w:val="000000"/>
          <w:sz w:val="20"/>
          <w:szCs w:val="20"/>
          <w:rtl w:val="0"/>
        </w:rPr>
        <w:t xml:space="preserve">a devolução do fóssil </w:t>
      </w:r>
      <w:r w:rsidDel="00000000" w:rsidR="00000000" w:rsidRPr="00000000">
        <w:rPr>
          <w:rFonts w:ascii="Times New Roman" w:cs="Times New Roman" w:eastAsia="Times New Roman" w:hAnsi="Times New Roman"/>
          <w:i w:val="1"/>
          <w:iCs w:val="1"/>
          <w:color w:val="000000"/>
          <w:sz w:val="20"/>
          <w:szCs w:val="20"/>
          <w:rtl w:val="0"/>
        </w:rPr>
        <w:t xml:space="preserve">Cretapalpus vittri </w:t>
      </w:r>
      <w:r w:rsidDel="00000000" w:rsidR="00000000" w:rsidRPr="00000000">
        <w:rPr>
          <w:rFonts w:ascii="Times New Roman" w:cs="Times New Roman" w:eastAsia="Times New Roman" w:hAnsi="Times New Roman"/>
          <w:color w:val="000000"/>
          <w:sz w:val="20"/>
          <w:szCs w:val="20"/>
          <w:rtl w:val="0"/>
        </w:rPr>
        <w:t xml:space="preserve">pelos Estados Unidos em 2021 e de treze fósseis de</w:t>
        <w:br w:type="textWrapping"/>
      </w:r>
      <w:r w:rsidDel="00000000" w:rsidR="00000000" w:rsidRPr="00000000">
        <w:rPr>
          <w:rFonts w:ascii="Times New Roman" w:cs="Times New Roman" w:eastAsia="Times New Roman" w:hAnsi="Times New Roman"/>
          <w:i w:val="1"/>
          <w:iCs w:val="1"/>
          <w:color w:val="000000"/>
          <w:sz w:val="20"/>
          <w:szCs w:val="20"/>
          <w:rtl w:val="0"/>
        </w:rPr>
        <w:t xml:space="preserve">Mesosaurus braziliensis </w:t>
      </w:r>
      <w:r w:rsidDel="00000000" w:rsidR="00000000" w:rsidRPr="00000000">
        <w:rPr>
          <w:rFonts w:ascii="Times New Roman" w:cs="Times New Roman" w:eastAsia="Times New Roman" w:hAnsi="Times New Roman"/>
          <w:color w:val="000000"/>
          <w:sz w:val="20"/>
          <w:szCs w:val="20"/>
          <w:rtl w:val="0"/>
        </w:rPr>
        <w:t xml:space="preserve">pela França em 2013.</w:t>
      </w:r>
    </w:p>
  </w:footnote>
  <w:footnote w:id="8">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Tradução do autor. No original: “</w:t>
      </w:r>
      <w:r w:rsidDel="00000000" w:rsidR="00000000" w:rsidRPr="00000000">
        <w:rPr>
          <w:rFonts w:ascii="Times New Roman" w:cs="Times New Roman" w:eastAsia="Times New Roman" w:hAnsi="Times New Roman"/>
          <w:i w:val="1"/>
          <w:iCs w:val="1"/>
          <w:color w:val="000000"/>
          <w:sz w:val="20"/>
          <w:szCs w:val="20"/>
          <w:rtl w:val="0"/>
        </w:rPr>
        <w:t xml:space="preserve">Today, cultural property may be seem as part of national identity,</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especially in the post-colonial and post-communist contexts, where cultural heritage plays an important</w:t>
        <w:br w:type="textWrapping"/>
        <w:t xml:space="preserve">role in ‘transitional justice’, in the form both of restitution of art looted or destroyed and the reinstatement</w:t>
        <w:br w:type="textWrapping"/>
        <w:t xml:space="preserve">of monuments charged with political meanings. At the same time, cultural objects can be seen as part of</w:t>
        <w:br w:type="textWrapping"/>
        <w:t xml:space="preserve">the physical public space that conditions our world view and is part of what we normally call ‘the</w:t>
        <w:br w:type="textWrapping"/>
        <w:t xml:space="preserve">environment’ or the ‘landscape’. </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Cultural property may be seen as moveable artifacts susceptible to</w:t>
        <w:br w:type="textWrapping"/>
        <w:t xml:space="preserve">economic evaluation, and for this reason subject to exchange in domestic and international commerce; but</w:t>
        <w:br w:type="textWrapping"/>
        <w:t xml:space="preserve">it may also be seen as objects endowed with intrinsic value as expressions of human creativity and as part</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of a unique or very special tradition of human skills and craftwork, which today we call ‘intangible cultural</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heritage’. </w:t>
      </w:r>
      <w:r w:rsidDel="00000000" w:rsidR="00000000" w:rsidRPr="00000000">
        <w:rPr>
          <w:rFonts w:ascii="Times New Roman" w:cs="Times New Roman" w:eastAsia="Times New Roman" w:hAnsi="Times New Roman"/>
          <w:b w:val="1"/>
          <w:bCs w:val="1"/>
          <w:i w:val="1"/>
          <w:iCs w:val="1"/>
          <w:color w:val="000000"/>
          <w:sz w:val="20"/>
          <w:szCs w:val="20"/>
          <w:rtl w:val="0"/>
        </w:rPr>
        <w:t xml:space="preserve">Cultural property today can be seen as the object of individual rights, property rights, but also</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i w:val="1"/>
          <w:iCs w:val="1"/>
          <w:color w:val="000000"/>
          <w:sz w:val="20"/>
          <w:szCs w:val="20"/>
          <w:rtl w:val="0"/>
        </w:rPr>
        <w:t xml:space="preserve">as ‘communal property’ or public patrimony</w:t>
      </w:r>
      <w:r w:rsidDel="00000000" w:rsidR="00000000" w:rsidRPr="00000000">
        <w:rPr>
          <w:rFonts w:ascii="Times New Roman" w:cs="Times New Roman" w:eastAsia="Times New Roman" w:hAnsi="Times New Roman"/>
          <w:i w:val="1"/>
          <w:iCs w:val="1"/>
          <w:color w:val="000000"/>
          <w:sz w:val="20"/>
          <w:szCs w:val="20"/>
          <w:rtl w:val="0"/>
        </w:rPr>
        <w:t xml:space="preserve">, which is essential to the sentiment of belonging to a</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collective social body and to the transmission of this sentiment to future generations</w:t>
      </w:r>
      <w:r w:rsidDel="00000000" w:rsidR="00000000" w:rsidRPr="00000000">
        <w:rPr>
          <w:rFonts w:ascii="Times New Roman" w:cs="Times New Roman" w:eastAsia="Times New Roman" w:hAnsi="Times New Roman"/>
          <w:color w:val="000000"/>
          <w:sz w:val="20"/>
          <w:szCs w:val="20"/>
          <w:rtl w:val="0"/>
        </w:rPr>
        <w:t xml:space="preserve">” (Francioni, 2012, p. 721-722).</w:t>
      </w:r>
    </w:p>
  </w:footnote>
  <w:footnote w:id="9">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Como observa André de Carvalho Ramos (2023, p. 498), “[a] </w:t>
      </w:r>
      <w:r w:rsidDel="00000000" w:rsidR="00000000" w:rsidRPr="00000000">
        <w:rPr>
          <w:rFonts w:ascii="Times New Roman" w:cs="Times New Roman" w:eastAsia="Times New Roman" w:hAnsi="Times New Roman"/>
          <w:i w:val="1"/>
          <w:iCs w:val="1"/>
          <w:color w:val="000000"/>
          <w:sz w:val="20"/>
          <w:szCs w:val="20"/>
          <w:rtl w:val="0"/>
        </w:rPr>
        <w:t xml:space="preserve">evolução histórica da cooperação jurídica internacional traz o risco de um estudo assistemático centrado em temas como ‘carta rogatória’, ‘extradição’, ‘legalização de documentos’, sem aparente conexão, como se fossem árvores perdidas e sem percepção da floresta. Por isso, é indispensável uma análise estruturalista da cooperação jurídica internacional que identifique e insira os diferentes tópicos da temática em um modelo básico comum a todas as espécies cooperacionais, com papéis e funções definidas</w:t>
      </w:r>
      <w:r w:rsidDel="00000000" w:rsidR="00000000" w:rsidRPr="00000000">
        <w:rPr>
          <w:rFonts w:ascii="Times New Roman" w:cs="Times New Roman" w:eastAsia="Times New Roman" w:hAnsi="Times New Roman"/>
          <w:color w:val="000000"/>
          <w:sz w:val="20"/>
          <w:szCs w:val="20"/>
          <w:rtl w:val="0"/>
        </w:rPr>
        <w:t xml:space="preserve">”.</w:t>
      </w:r>
    </w:p>
  </w:footnote>
  <w:footnote w:id="10">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Sobre esse problema no que tange a convivência entre a Carta Rogatória e o Auxílio Direto no direito penal brasileiro: “[s]</w:t>
      </w:r>
      <w:r w:rsidDel="00000000" w:rsidR="00000000" w:rsidRPr="00000000">
        <w:rPr>
          <w:rFonts w:ascii="Times New Roman" w:cs="Times New Roman" w:eastAsia="Times New Roman" w:hAnsi="Times New Roman"/>
          <w:i w:val="1"/>
          <w:iCs w:val="1"/>
          <w:color w:val="000000"/>
          <w:sz w:val="20"/>
          <w:szCs w:val="20"/>
          <w:rtl w:val="0"/>
        </w:rPr>
        <w:t xml:space="preserve">ugerimos situar a convivência entre Carta Rogatória e o Auxílio Direto a partir de um novo ponto de vista, cuja análise se volta à verificação de ser possível – ou não – a existência de dois ou mais veículos, incidindo sobre o mesmo pedido cooperacional. </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Os veículos – ou seja, os instrumentos utilizados – podem conter diversos conteúdos de prestação cooperacional entre Estados, a depender do tratado ou da prática costumeira internacional. A Constituição brasileira, enfim, fez menção a alguns veículos e não os listou de modo exaustivo. Sequer proibiu que o Brasil, em nome da cooperação em prol do desenvolvimento da humanidade (art. 4º, inciso IX) adotasse outros, por meio da ratificação de tratados internacionais de cooperação jurídica internacional. Assim, os tratados de assistência jurídica internacional em matéria penal ao instituir um novo veículo apenas exerceram aquilo que a Constituição determinou: aprofundaram a cooperação e lançaram mão de mais um instrumento para viabilizá-la</w:t>
      </w:r>
      <w:r w:rsidDel="00000000" w:rsidR="00000000" w:rsidRPr="00000000">
        <w:rPr>
          <w:rFonts w:ascii="Times New Roman" w:cs="Times New Roman" w:eastAsia="Times New Roman" w:hAnsi="Times New Roman"/>
          <w:color w:val="000000"/>
          <w:sz w:val="20"/>
          <w:szCs w:val="20"/>
          <w:rtl w:val="0"/>
        </w:rPr>
        <w:t xml:space="preserve">” (Abade, 2014, p. 94).</w:t>
      </w:r>
    </w:p>
  </w:footnote>
  <w:footnote w:id="11">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Por exemplo, uma busca e apreensão cautelar ou mesmo uma oitiva de testemunha consistem em</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pedidos de assistência jurídica e podem ser veiculados por Carta Rogatória ou por Ação de Auxílio Direto.</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Esses são veículos bem diferentes no Brasil: a Carta Rogatóroia passiva deve ser apreciada pelo Superior</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Tribunal de Justiça (para obter o exequatur) e a Ação de Auxílio Direto passivo será apreciada por um</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Juízo Federal de 1º grau (sem exequatur)</w:t>
      </w:r>
      <w:r w:rsidDel="00000000" w:rsidR="00000000" w:rsidRPr="00000000">
        <w:rPr>
          <w:rFonts w:ascii="Times New Roman" w:cs="Times New Roman" w:eastAsia="Times New Roman" w:hAnsi="Times New Roman"/>
          <w:color w:val="000000"/>
          <w:sz w:val="20"/>
          <w:szCs w:val="20"/>
          <w:rtl w:val="0"/>
        </w:rPr>
        <w:t xml:space="preserve">” (Ramos, 2023, p. 509).</w:t>
      </w:r>
    </w:p>
  </w:footnote>
  <w:footnote w:id="12">
    <w:p w:rsidR="00000000" w:rsidDel="00000000" w:rsidP="00000000" w:rsidRDefault="00000000" w:rsidRPr="00000000" w14:paraId="0000006E">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Registre-se uma importante antecessora: a Convenção para a Proteção de Bens Culturais em Caso de Conflito Armado de 1954 (promulgada no Brasil pelo Decreto nº 44.851/1958). Esse instrumento, por evidente, se aplica apenas em contextos de conflitos armados e ocupação militar. Além disso, material paleontológico não é expressamente coberto na definição do art. 1º do tratado, de forma que sua cobertura depende de um aporte de interpretação. Ainda, a convenção não dispõe sobre medidas de repatriação. Ou seja, a princípio, ela se restringe ao direito material que poderia ser suscitado nesse tipo de pleito.</w:t>
      </w:r>
    </w:p>
  </w:footnote>
  <w:footnote w:id="13">
    <w:p w:rsidR="00000000" w:rsidDel="00000000" w:rsidP="00000000" w:rsidRDefault="00000000" w:rsidRPr="00000000" w14:paraId="0000006F">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Pesquisadores e instituições alemães recorreram a uma linha similar de argumentação que defendeu a permanência dos fósseis na Alemanha. Eles enfatizaram que a importação do fóssil não violou o direito</w:t>
        <w:br w:type="textWrapping"/>
        <w:t xml:space="preserve">alemão e que a espécime tinha se tornado juridicamente propriedade do estado de Baden-Württemberg, uma parte fundamental desse raciocínio afirma que o Kulturgüterschutzgesetz de 2016 (Lei de Proteção de Propriedade Cultural) não poderia ser aplicada retroativamente a importação de fósseis – nem tampouco a Convenção da UNESCO de 1970, já que somente entrou em vigência na Alemanha em 2007. Esse ponto de vista está correto. </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[A] Convenção da UNESCO de 1970, como tratado internacional, não se aplica retroativamente (Art. 28 da Convenção de Viena sobre Direito dos Tratados)”</w:t>
      </w:r>
      <w:r w:rsidDel="00000000" w:rsidR="00000000" w:rsidRPr="00000000">
        <w:rPr>
          <w:rFonts w:ascii="Times New Roman" w:cs="Times New Roman" w:eastAsia="Times New Roman" w:hAnsi="Times New Roman"/>
          <w:color w:val="000000"/>
          <w:sz w:val="20"/>
          <w:szCs w:val="20"/>
          <w:rtl w:val="0"/>
        </w:rPr>
        <w:t xml:space="preserve">. Tradução do autor. No original: “</w:t>
      </w:r>
      <w:r w:rsidDel="00000000" w:rsidR="00000000" w:rsidRPr="00000000">
        <w:rPr>
          <w:rFonts w:ascii="Times New Roman" w:cs="Times New Roman" w:eastAsia="Times New Roman" w:hAnsi="Times New Roman"/>
          <w:i w:val="1"/>
          <w:iCs w:val="1"/>
          <w:color w:val="000000"/>
          <w:sz w:val="20"/>
          <w:szCs w:val="20"/>
          <w:rtl w:val="0"/>
        </w:rPr>
        <w:t xml:space="preserve">German researchers and institutions resorted to a similar line of argumentation that defended the presence of the fossils in Germany. They emphasized that the import of the fossil did not violate German law and that the specimen had rightfully become the property of the state of Baden-Württemberg. An integral part of this reasoning asserts that the 2016 Kulturgüterschutzgesetz (Cultural Property Protection Act) cannot be applied retroactively to the import of fossils – nor can the 1970 UNESCO Convention since it only came into force in Germany in 2007. This view is correct. </w:t>
      </w:r>
      <w:r w:rsidDel="00000000" w:rsidR="00000000" w:rsidRPr="00000000">
        <w:rPr>
          <w:rFonts w:ascii="Times New Roman" w:cs="Times New Roman" w:eastAsia="Times New Roman" w:hAnsi="Times New Roman"/>
          <w:color w:val="000000"/>
          <w:sz w:val="20"/>
          <w:szCs w:val="20"/>
          <w:rtl w:val="0"/>
        </w:rPr>
        <w:t xml:space="preserve">(...) [T]</w:t>
      </w:r>
      <w:r w:rsidDel="00000000" w:rsidR="00000000" w:rsidRPr="00000000">
        <w:rPr>
          <w:rFonts w:ascii="Times New Roman" w:cs="Times New Roman" w:eastAsia="Times New Roman" w:hAnsi="Times New Roman"/>
          <w:i w:val="1"/>
          <w:iCs w:val="1"/>
          <w:color w:val="000000"/>
          <w:sz w:val="20"/>
          <w:szCs w:val="20"/>
          <w:rtl w:val="0"/>
        </w:rPr>
        <w:t xml:space="preserve">he 1970 UNESCO Convention as an international treaty does not apply retroactively (Art. 28 of the Vienna Convention on the Law of Treaties</w:t>
      </w:r>
      <w:r w:rsidDel="00000000" w:rsidR="00000000" w:rsidRPr="00000000">
        <w:rPr>
          <w:rFonts w:ascii="Times New Roman" w:cs="Times New Roman" w:eastAsia="Times New Roman" w:hAnsi="Times New Roman"/>
          <w:color w:val="000000"/>
          <w:sz w:val="20"/>
          <w:szCs w:val="20"/>
          <w:rtl w:val="0"/>
        </w:rPr>
        <w:t xml:space="preserve">)” (Stewens, 2023, p. 301).</w:t>
      </w:r>
    </w:p>
  </w:footnote>
  <w:footnote w:id="14">
    <w:p w:rsidR="00000000" w:rsidDel="00000000" w:rsidP="00000000" w:rsidRDefault="00000000" w:rsidRPr="00000000" w14:paraId="00000070">
      <w:pPr>
        <w:spacing w:after="0" w:line="240" w:lineRule="auto"/>
        <w:jc w:val="both"/>
        <w:rPr>
          <w:rFonts w:ascii="Times New Roman" w:cs="Times New Roman" w:eastAsia="Times New Roman" w:hAnsi="Times New Roman"/>
          <w:i w:val="1"/>
          <w:iCs w:val="1"/>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A Convenção do UNIDROIT de 1995 tem o efeito de um protocolo no sentido de que ela lida com as lacunas que se sentia haver na Convenção de 1970 (provisões detalhadas de aquisição de ‘boa-fé’; o status de objetos arqueológicos, regimes de prescrição; legitimidade de processar de atores não-estatais)</w:t>
      </w:r>
      <w:r w:rsidDel="00000000" w:rsidR="00000000" w:rsidRPr="00000000">
        <w:rPr>
          <w:rFonts w:ascii="Times New Roman" w:cs="Times New Roman" w:eastAsia="Times New Roman" w:hAnsi="Times New Roman"/>
          <w:color w:val="000000"/>
          <w:sz w:val="20"/>
          <w:szCs w:val="20"/>
          <w:rtl w:val="0"/>
        </w:rPr>
        <w:t xml:space="preserve">”. Tradução do autor. No original: “</w:t>
      </w:r>
      <w:r w:rsidDel="00000000" w:rsidR="00000000" w:rsidRPr="00000000">
        <w:rPr>
          <w:rFonts w:ascii="Times New Roman" w:cs="Times New Roman" w:eastAsia="Times New Roman" w:hAnsi="Times New Roman"/>
          <w:i w:val="1"/>
          <w:iCs w:val="1"/>
          <w:color w:val="000000"/>
          <w:sz w:val="20"/>
          <w:szCs w:val="20"/>
          <w:rtl w:val="0"/>
        </w:rPr>
        <w:t xml:space="preserve">The 1995 UNIDROIT Convention has the effect of a protocol in that it deals with the gaps felt to be in the 1970 Convention (detailed provisions on ‘good faith’ acquisition; the status of archeological objects, time limitations on action, ability of nonstate owners to sue)” </w:t>
      </w:r>
      <w:r w:rsidDel="00000000" w:rsidR="00000000" w:rsidRPr="00000000">
        <w:rPr>
          <w:rFonts w:ascii="Times New Roman" w:cs="Times New Roman" w:eastAsia="Times New Roman" w:hAnsi="Times New Roman"/>
          <w:color w:val="000000"/>
          <w:sz w:val="20"/>
          <w:szCs w:val="20"/>
          <w:rtl w:val="0"/>
        </w:rPr>
        <w:t xml:space="preserve">(Prott</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2011, p. 441). Da mesma autora: “</w:t>
      </w:r>
      <w:r w:rsidDel="00000000" w:rsidR="00000000" w:rsidRPr="00000000">
        <w:rPr>
          <w:rFonts w:ascii="Times New Roman" w:cs="Times New Roman" w:eastAsia="Times New Roman" w:hAnsi="Times New Roman"/>
          <w:i w:val="1"/>
          <w:iCs w:val="1"/>
          <w:color w:val="000000"/>
          <w:sz w:val="20"/>
          <w:szCs w:val="20"/>
          <w:rtl w:val="0"/>
        </w:rPr>
        <w:t xml:space="preserve">A Convenção da UNESCO lida com o problema de tráfico ilícito por meio de procedimentos administrativos e ação do Estado; a Convenção do UNIDROIT provê acesso direto às cortes de um Estado pelo proprietário de um bem cultural roubado ou por um Estado de onde ele foi exportado ilicitamente. Elas então complementam uma a outra</w:t>
      </w:r>
      <w:r w:rsidDel="00000000" w:rsidR="00000000" w:rsidRPr="00000000">
        <w:rPr>
          <w:rFonts w:ascii="Times New Roman" w:cs="Times New Roman" w:eastAsia="Times New Roman" w:hAnsi="Times New Roman"/>
          <w:color w:val="000000"/>
          <w:sz w:val="20"/>
          <w:szCs w:val="20"/>
          <w:rtl w:val="0"/>
        </w:rPr>
        <w:t xml:space="preserve">”. Tradução do autor. No original: “</w:t>
      </w:r>
      <w:r w:rsidDel="00000000" w:rsidR="00000000" w:rsidRPr="00000000">
        <w:rPr>
          <w:rFonts w:ascii="Times New Roman" w:cs="Times New Roman" w:eastAsia="Times New Roman" w:hAnsi="Times New Roman"/>
          <w:i w:val="1"/>
          <w:iCs w:val="1"/>
          <w:color w:val="000000"/>
          <w:sz w:val="20"/>
          <w:szCs w:val="20"/>
          <w:rtl w:val="0"/>
        </w:rPr>
        <w:t xml:space="preserve">The UNESCO Convention deals with the problem of illicit traffic by means of administrative procedures and State action; the UNIDROIT Convention provides direct access to the courts of one State by the owner of a stolen cultural object or by a State from which it has been illicitly exported. They thus complement one another</w:t>
      </w:r>
      <w:r w:rsidDel="00000000" w:rsidR="00000000" w:rsidRPr="00000000">
        <w:rPr>
          <w:rFonts w:ascii="Times New Roman" w:cs="Times New Roman" w:eastAsia="Times New Roman" w:hAnsi="Times New Roman"/>
          <w:color w:val="000000"/>
          <w:sz w:val="20"/>
          <w:szCs w:val="20"/>
          <w:rtl w:val="0"/>
        </w:rPr>
        <w:t xml:space="preserve">” (Prott, 1997, p. 25). </w:t>
      </w:r>
      <w:r w:rsidDel="00000000" w:rsidR="00000000" w:rsidRPr="00000000">
        <w:rPr>
          <w:rtl w:val="0"/>
        </w:rPr>
      </w:r>
    </w:p>
  </w:footnote>
  <w:footnote w:id="15">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Um exemplo dessa perspectiva: “[o]</w:t>
      </w:r>
      <w:r w:rsidDel="00000000" w:rsidR="00000000" w:rsidRPr="00000000">
        <w:rPr>
          <w:rFonts w:ascii="Times New Roman" w:cs="Times New Roman" w:eastAsia="Times New Roman" w:hAnsi="Times New Roman"/>
          <w:i w:val="1"/>
          <w:iCs w:val="1"/>
          <w:color w:val="000000"/>
          <w:sz w:val="20"/>
          <w:szCs w:val="20"/>
          <w:rtl w:val="0"/>
        </w:rPr>
        <w:t xml:space="preserve">s termos comumente usados nesse contexto</w:t>
      </w:r>
      <w:r w:rsidDel="00000000" w:rsidR="00000000" w:rsidRPr="00000000">
        <w:rPr>
          <w:rFonts w:ascii="Times New Roman" w:cs="Times New Roman" w:eastAsia="Times New Roman" w:hAnsi="Times New Roman"/>
          <w:color w:val="000000"/>
          <w:sz w:val="20"/>
          <w:szCs w:val="20"/>
          <w:rtl w:val="0"/>
        </w:rPr>
        <w:t xml:space="preserve"> [de litigância internacional]</w:t>
      </w:r>
      <w:r w:rsidDel="00000000" w:rsidR="00000000" w:rsidRPr="00000000">
        <w:rPr>
          <w:rFonts w:ascii="Times New Roman" w:cs="Times New Roman" w:eastAsia="Times New Roman" w:hAnsi="Times New Roman"/>
          <w:i w:val="1"/>
          <w:iCs w:val="1"/>
          <w:color w:val="000000"/>
          <w:sz w:val="20"/>
          <w:szCs w:val="20"/>
          <w:rtl w:val="0"/>
        </w:rPr>
        <w:t xml:space="preserve">, nomeadamente ‘retorno’ e ‘restituição’ são potencialmente confusos, já que eles são algumas vezes usados de forma intercambiável, mas também são carregados de significado especial. De acordo com as Orientações da IGC, o termo ‘restituição’ deve ser usado em casos de apropriação ilícita em que objetos deixaram seus países de origem ilegalmente, de acordo com a legislação nacional pertinente (e com particular relevância da Convenção da UNESCO de 1970). O termo ‘retorno’, por outro lado, não tem um sentido específico em direito internacional ou nacional e deve se aplicar a casos em que objetos deixaram seus paíes de origem antes da cristalização do direito nacional e internacional sobre a proteção de bens culturais.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Prott e O’Keefe acrescentam que ‘retorno’ também pode ser um termo útil em casos em que o contexto em que sua remoção não foi colonial (ou ocupação estrangeira), mas em que não é claro se um ilícito internacional foi cometido por outro Estado. Como mencionado acima, quando do rascunho do título da Convenção de 1995, o UNIDROIT decidiu deixar de lado as referências a ‘retorno’ e ‘restituição’ na versão final, dadas as incertezas cercando o significado de ‘restituição’, que não é exatamente o mesmo em francês e em inglês</w:t>
      </w:r>
      <w:r w:rsidDel="00000000" w:rsidR="00000000" w:rsidRPr="00000000">
        <w:rPr>
          <w:rFonts w:ascii="Times New Roman" w:cs="Times New Roman" w:eastAsia="Times New Roman" w:hAnsi="Times New Roman"/>
          <w:color w:val="000000"/>
          <w:sz w:val="20"/>
          <w:szCs w:val="20"/>
          <w:rtl w:val="0"/>
        </w:rPr>
        <w:t xml:space="preserve">”. Tradução do autor. No original: “</w:t>
      </w:r>
      <w:r w:rsidDel="00000000" w:rsidR="00000000" w:rsidRPr="00000000">
        <w:rPr>
          <w:rFonts w:ascii="Times New Roman" w:cs="Times New Roman" w:eastAsia="Times New Roman" w:hAnsi="Times New Roman"/>
          <w:i w:val="1"/>
          <w:iCs w:val="1"/>
          <w:color w:val="000000"/>
          <w:sz w:val="20"/>
          <w:szCs w:val="20"/>
          <w:rtl w:val="0"/>
        </w:rPr>
        <w:t xml:space="preserve">The terms commonly used in this context </w:t>
      </w:r>
      <w:r w:rsidDel="00000000" w:rsidR="00000000" w:rsidRPr="00000000">
        <w:rPr>
          <w:rFonts w:ascii="Times New Roman" w:cs="Times New Roman" w:eastAsia="Times New Roman" w:hAnsi="Times New Roman"/>
          <w:color w:val="000000"/>
          <w:sz w:val="20"/>
          <w:szCs w:val="20"/>
          <w:rtl w:val="0"/>
        </w:rPr>
        <w:t xml:space="preserve">[de litigância internacional]</w:t>
      </w:r>
      <w:r w:rsidDel="00000000" w:rsidR="00000000" w:rsidRPr="00000000">
        <w:rPr>
          <w:rFonts w:ascii="Times New Roman" w:cs="Times New Roman" w:eastAsia="Times New Roman" w:hAnsi="Times New Roman"/>
          <w:i w:val="1"/>
          <w:iCs w:val="1"/>
          <w:color w:val="000000"/>
          <w:sz w:val="20"/>
          <w:szCs w:val="20"/>
          <w:rtl w:val="0"/>
        </w:rPr>
        <w:t xml:space="preserve">, namely ‘return’ and ‘restitution’, are potentially confusing since they are sometimes used interchangeably but may also be loaded with special meaning. According to the IGC Guidelines, the term ‘restitution’ should be used in cases of illicit appropriation where objects have left their countries of origin illegally, according to the relevant national legislation (and with particular relevance to the 1970 UNESCO Convention). The term ‘return’, on the other hand, does not have specific meaning in either international or national law and should apply to cases where objects left their countries of origin prior to the crystallization of national and international law on the protection of cultural property. </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Prott and O’Keefe add that ‘return’ may also be a useful term in cases where the context of removal was not colonial (or foreign occupation) but where it is not clear whether an international wrong has been committed by another State. As mentioned above, when drafting the title of the 1995 Convention, UNIDROIT decided to drop references to both ‘return’ and ‘restitution’ in the final version given uncertainties surrounding the meaning of ‘restitution’ which is not exactly the same in both French and English</w:t>
      </w:r>
      <w:r w:rsidDel="00000000" w:rsidR="00000000" w:rsidRPr="00000000">
        <w:rPr>
          <w:rFonts w:ascii="Times New Roman" w:cs="Times New Roman" w:eastAsia="Times New Roman" w:hAnsi="Times New Roman"/>
          <w:color w:val="000000"/>
          <w:sz w:val="20"/>
          <w:szCs w:val="20"/>
          <w:rtl w:val="0"/>
        </w:rPr>
        <w:t xml:space="preserve">” (Blake 2015, p. 51).</w:t>
      </w:r>
    </w:p>
  </w:footnote>
  <w:footnote w:id="16">
    <w:p w:rsidR="00000000" w:rsidDel="00000000" w:rsidP="00000000" w:rsidRDefault="00000000" w:rsidRPr="00000000" w14:paraId="00000072">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Note-se que, se a peça integrava monumento, sítio arqueológico ou coleção pública identificados, não se aplica o prazo máximo de cinquenta anos. Além disso, Estados podem declarar, no momento da assinatura do tratado, um prazo de prescrição máximo de setenta e cinco anos (ou superior, se existente em seu direito interno), cf. art. 3.5.</w:t>
      </w:r>
    </w:p>
  </w:footnote>
  <w:footnote w:id="17">
    <w:p w:rsidR="00000000" w:rsidDel="00000000" w:rsidP="00000000" w:rsidRDefault="00000000" w:rsidRPr="00000000" w14:paraId="00000073">
      <w:pPr>
        <w:spacing w:after="0" w:line="240" w:lineRule="auto"/>
        <w:jc w:val="both"/>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Foram levantados os seguintes tratados bilaterais de cooperação cultural pesquisa na plataforma CONCORDIA do Ministério das Relações Exteriores: (1) Acordo Brasil-Índia de Cooperação Cultural de 1968 (Decreto nº 66.872/1970); (2) Acordo Brasil-Gana de Cooperação Cultural de 1972 (Decreto nº 73.895/1974); (3) Acordo Brasil-Paraguai de Cooperação Educacional, Científica e Cultural de 1973 (Decreto nº 75.105/1974); (4) Acordo Brasil-Gabão de Cooperação Cultural de 1975 (Decreto nº 85.903/1981); (5) Convênio Brasil-Chile de Cooperação Cultural e Científica de 1976 (Decreto nº 82.988/1979); (6) Acordo Brasil-Cabo Verde de Cooperação Cultural de 1979 (Decreto nº 85.621/1981); (7) Acordo Brasil-México de Cooperação Cultural e Educacional de 1980 (Decreto nº 87.163/1982); (8) Acordo Brasil-Angola de Cooperação Cultural de 1980 (Decreto nº 99.558/1990); (9) Acordo Brasil-Congo de Cooperação Econômica, Científica, Técnica e Cultural de 1981 (Decreto nº 87.410); (10) Acordo Brasil-Mali e Cooperação Econômica, Científica, Técnica e Cultural de 1981 (Decreto nº 99.711/1990); (11) Acordo Brasil-Congo de Cooperação Cultural, Educacional, Científica e Técnica de 1982 (Decreto nº 93.20 2/1986); (12) Acordo Brasil-Antígua e Barbuda de Cooperação Cultural, Científica e Técnica de 1982 (Decreto nº 2.045/1996); (13) Acordo Brasil-Iraque de Cooperação Cultural e Educacional de 1982 (Decreto nº 88.997/1983); (14) Acordo Brasil-China de Cooperação Cultural e Educacional de 1985 (Decreto nº 95.944/1988); (15) Acordo Brasil-Bangladesh de Cooperação Cultural de 1988 (Decreto nº 402/1991); (16) Acordo Brasil-Cuba de Cooperação Cultural e Educacional de 1988 (Decreto nº 98.784/1990); (17) Acordo Brasil-Finlândia de Cooperação Cultural, Educacional e Científica de 1988 (Decreto nº 99.702/1990); (18) Acordo Brasil-Tchecoslováquia de Cooperação Cultural de 1989 (Decreto nº 99.090/1990); (19) Acordo Brasil-República Tcheca de Cooperação Cultural de 1989 (Decreto nº 48/1990); (20) Acordo Brasil-Equador de Cooperação Cultural e Educacional de 1989 (Decreto nº 1.632/1995); (21) Acordo Brasil-Moçambique de Cooperação Cultural de 1989 (Decreto nº 159/1991); (22) Acordo Brasil-Bulgária de Cooperação cultural de 1990 (Decreto nº 709/1992); (23) Acordo Brasil- Romênia de Cooperação Cultural de 1991 (Decreto nº 673/1992); (24) Acordo Brasil-Hungria de Cooperação Cultural de 1992 (Decreto nº 2.767/1998); (25) Acordo Brasil-Namíbia de Cooperação Cultural e Educacional de 1995 (Decreto nº 2.836/1998); (26) Acordo Brasil Turquia de Cooperação Cultural e Educacional de 1995 (Decreto nº 2.152/1997); (27) Convênio Brasil-Peru sobre a Recuperação de Bens/ Culturais Roubados ou Exportados Ilicitamente de 1996 (Decreto nº 4.188/2002); (28) Acordo Brasil-Itália de Cooperação Cultural de 1997 (Decreto nº 2.818/1998); (29) Acordo Brasil-Líbano de Cooperação Cultural de 1997 (Decreto nº 4.476/2002); (30) Acordo Brasil-Rússia de Cooperação Cultural e Educacional de 1997 (Decreto nº 3.163/1999); (31) Acordo Brasil-Jamaica de Cooperação Cultural e Educacional de 1997 (Decreto nº 3.479/2000); (32) Acordo Brasil-Síria de Cooperação Cultural e Educacional de 1997 (Decreto nº 2.692/1998); (33) Acordo Brasil-Bolívia sobre a Recuperação de Bens Culturais, Patrimoniais e outros Específicos Roubados, Importados ou Exportados Ilicitamente de 1999 (Decreto nº 4444/2002); (34) Acordo Brasil-Zimbábue de Cooperação Cultural de 1999 (Decreto nº 11.861/2023); (35) Acordo Brasil-Nigéria de Cooperação Cultural de 2000 (Decreto nº 8.334/2014); (36) Acordo Brasil-Armênia de Cooperação Cultural de 2002 (Decreto nº 6.349/2008); (37) Acordo Brasil-Grécia de Cooperação Cultural de 2003 (Decreto nº 6.414/2008); (38) Acordo Brasil-Vietnã de Cooperação Cultural de 2003 (Decreto nº 5.659/2006); (39) Acordo Brasil-Kuaite de Cooperação Cultural de 2005 (Decreto nº 8.317/2014); (40) Acordo Brasil-Barbados de de Cooperação Cultural de 2005 (Decreto nº 7.111/2010); (41) Acordo Brasil-Jordânia de Cooperação Cultural de 2008 (Decreto nº 7.326/2010); (42) Acordo Brasil-Letônia de Cooperação Cultural de 2008 (Decreto nº 7.327/2010); (43) Acordo Brasil- Uzbequistão de Cooperação Cultural de 2009 (Decreto nº 7.909/2013); (44) Acordo Brasil-Botsuana de Cooperação Cultural de 2009 (Decreto nº 7.586/2011); (45) Acordo Brasil-Ucrânia de Cooperação Cultural de 2009 (Decreto nº 8.318/2014); (46) Acordo Brasil-Burkina Faso de Cooperação Cultural de 2009 (Decreto nº 8.458/2015); (47) Acordo Brasil-São Cristóvão e Névis de Cooperação Cultural de 2010 (Decreto nº 9.207/2017); (48) Acordo Brasil-São Vicente e Granadinas de Cooperação Cultural de 2010 (Decreto nº 9.553/2018); e (49) Acordo Brasil-Dominica de Cooperação Cultural de 2010 (Decreto nº 9.131/2017).</w:t>
      </w:r>
    </w:p>
  </w:footnote>
  <w:footnote w:id="18">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E.g., </w:t>
      </w:r>
      <w:r w:rsidDel="00000000" w:rsidR="00000000" w:rsidRPr="00000000">
        <w:rPr>
          <w:rFonts w:ascii="Times New Roman" w:cs="Times New Roman" w:eastAsia="Times New Roman" w:hAnsi="Times New Roman"/>
          <w:color w:val="000000"/>
          <w:sz w:val="20"/>
          <w:szCs w:val="20"/>
          <w:rtl w:val="0"/>
        </w:rPr>
        <w:t xml:space="preserve">o Acordo Brasil-Bolívia sobre a Recuperação de Bens Culturais, Patrimoniais e outros Específicos Roubados, Importados ou Exportados Ilicitamente de 1999, que prevê em seu art. II.2 que pedidos de recuperação e devolução de bens culturais devem ser formulados por via diplomática.</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tulo7">
    <w:name w:val="heading 7"/>
    <w:basedOn w:val="Normal"/>
    <w:next w:val="Normal"/>
    <w:link w:val="Ttulo7Char"/>
    <w:uiPriority w:val="9"/>
    <w:semiHidden w:val="1"/>
    <w:unhideWhenUsed w:val="1"/>
    <w:qFormat w:val="1"/>
    <w:rsid w:val="00400D7E"/>
    <w:pPr>
      <w:keepNext w:val="1"/>
      <w:keepLines w:val="1"/>
      <w:spacing w:after="0" w:before="40"/>
      <w:outlineLvl w:val="6"/>
    </w:pPr>
    <w:rPr>
      <w:rFonts w:cstheme="majorBidi" w:eastAsiaTheme="majorEastAsia"/>
      <w:color w:val="595959" w:themeColor="text1" w:themeTint="0000A6"/>
    </w:rPr>
  </w:style>
  <w:style w:type="paragraph" w:styleId="Ttulo8">
    <w:name w:val="heading 8"/>
    <w:basedOn w:val="Normal"/>
    <w:next w:val="Normal"/>
    <w:link w:val="Ttulo8Char"/>
    <w:uiPriority w:val="9"/>
    <w:semiHidden w:val="1"/>
    <w:unhideWhenUsed w:val="1"/>
    <w:qFormat w:val="1"/>
    <w:rsid w:val="00400D7E"/>
    <w:pPr>
      <w:keepNext w:val="1"/>
      <w:keepLines w:val="1"/>
      <w:spacing w:after="0"/>
      <w:outlineLvl w:val="7"/>
    </w:pPr>
    <w:rPr>
      <w:rFonts w:cstheme="majorBidi" w:eastAsiaTheme="majorEastAsia"/>
      <w:i w:val="1"/>
      <w:iCs w:val="1"/>
      <w:color w:val="272727" w:themeColor="text1" w:themeTint="0000D8"/>
    </w:rPr>
  </w:style>
  <w:style w:type="paragraph" w:styleId="Ttulo9">
    <w:name w:val="heading 9"/>
    <w:basedOn w:val="Normal"/>
    <w:next w:val="Normal"/>
    <w:link w:val="Ttulo9Char"/>
    <w:uiPriority w:val="9"/>
    <w:semiHidden w:val="1"/>
    <w:unhideWhenUsed w:val="1"/>
    <w:qFormat w:val="1"/>
    <w:rsid w:val="00400D7E"/>
    <w:pPr>
      <w:keepNext w:val="1"/>
      <w:keepLines w:val="1"/>
      <w:spacing w:after="0"/>
      <w:outlineLvl w:val="8"/>
    </w:pPr>
    <w:rPr>
      <w:rFonts w:cstheme="majorBidi" w:eastAsiaTheme="majorEastAsia"/>
      <w:color w:val="272727" w:themeColor="text1" w:themeTint="0000D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Ttulo1Char" w:customStyle="1">
    <w:name w:val="Título 1 Char"/>
    <w:basedOn w:val="Fontepargpadro"/>
    <w:uiPriority w:val="9"/>
    <w:rsid w:val="00400D7E"/>
    <w:rPr>
      <w:rFonts w:asciiTheme="majorHAnsi" w:cstheme="majorBidi" w:eastAsiaTheme="majorEastAsia" w:hAnsiTheme="majorHAnsi"/>
      <w:color w:val="0f4761" w:themeColor="accent1" w:themeShade="0000BF"/>
      <w:sz w:val="40"/>
      <w:szCs w:val="40"/>
    </w:rPr>
  </w:style>
  <w:style w:type="character" w:styleId="Ttulo2Char" w:customStyle="1">
    <w:name w:val="Título 2 Char"/>
    <w:basedOn w:val="Fontepargpadro"/>
    <w:uiPriority w:val="9"/>
    <w:semiHidden w:val="1"/>
    <w:rsid w:val="00400D7E"/>
    <w:rPr>
      <w:rFonts w:asciiTheme="majorHAnsi" w:cstheme="majorBidi" w:eastAsiaTheme="majorEastAsia" w:hAnsiTheme="majorHAnsi"/>
      <w:color w:val="0f4761" w:themeColor="accent1" w:themeShade="0000BF"/>
      <w:sz w:val="32"/>
      <w:szCs w:val="32"/>
    </w:rPr>
  </w:style>
  <w:style w:type="character" w:styleId="Ttulo3Char" w:customStyle="1">
    <w:name w:val="Título 3 Char"/>
    <w:basedOn w:val="Fontepargpadro"/>
    <w:uiPriority w:val="9"/>
    <w:semiHidden w:val="1"/>
    <w:rsid w:val="00400D7E"/>
    <w:rPr>
      <w:rFonts w:cstheme="majorBidi" w:eastAsiaTheme="majorEastAsia"/>
      <w:color w:val="0f4761" w:themeColor="accent1" w:themeShade="0000BF"/>
      <w:sz w:val="28"/>
      <w:szCs w:val="28"/>
    </w:rPr>
  </w:style>
  <w:style w:type="character" w:styleId="Ttulo4Char" w:customStyle="1">
    <w:name w:val="Título 4 Char"/>
    <w:basedOn w:val="Fontepargpadro"/>
    <w:uiPriority w:val="9"/>
    <w:semiHidden w:val="1"/>
    <w:rsid w:val="00400D7E"/>
    <w:rPr>
      <w:rFonts w:cstheme="majorBidi" w:eastAsiaTheme="majorEastAsia"/>
      <w:i w:val="1"/>
      <w:iCs w:val="1"/>
      <w:color w:val="0f4761" w:themeColor="accent1" w:themeShade="0000BF"/>
    </w:rPr>
  </w:style>
  <w:style w:type="character" w:styleId="Ttulo5Char" w:customStyle="1">
    <w:name w:val="Título 5 Char"/>
    <w:basedOn w:val="Fontepargpadro"/>
    <w:uiPriority w:val="9"/>
    <w:semiHidden w:val="1"/>
    <w:rsid w:val="00400D7E"/>
    <w:rPr>
      <w:rFonts w:cstheme="majorBidi" w:eastAsiaTheme="majorEastAsia"/>
      <w:color w:val="0f4761" w:themeColor="accent1" w:themeShade="0000BF"/>
    </w:rPr>
  </w:style>
  <w:style w:type="character" w:styleId="Ttulo6Char" w:customStyle="1">
    <w:name w:val="Título 6 Char"/>
    <w:basedOn w:val="Fontepargpadro"/>
    <w:uiPriority w:val="9"/>
    <w:semiHidden w:val="1"/>
    <w:rsid w:val="00400D7E"/>
    <w:rPr>
      <w:rFonts w:cstheme="majorBidi" w:eastAsiaTheme="majorEastAsia"/>
      <w:i w:val="1"/>
      <w:iCs w:val="1"/>
      <w:color w:val="595959" w:themeColor="text1" w:themeTint="0000A6"/>
    </w:rPr>
  </w:style>
  <w:style w:type="character" w:styleId="Ttulo7Char" w:customStyle="1">
    <w:name w:val="Título 7 Char"/>
    <w:basedOn w:val="Fontepargpadro"/>
    <w:link w:val="Ttulo7"/>
    <w:uiPriority w:val="9"/>
    <w:semiHidden w:val="1"/>
    <w:rsid w:val="00400D7E"/>
    <w:rPr>
      <w:rFonts w:cstheme="majorBidi" w:eastAsiaTheme="majorEastAsia"/>
      <w:color w:val="595959" w:themeColor="text1" w:themeTint="0000A6"/>
    </w:rPr>
  </w:style>
  <w:style w:type="character" w:styleId="Ttulo8Char" w:customStyle="1">
    <w:name w:val="Título 8 Char"/>
    <w:basedOn w:val="Fontepargpadro"/>
    <w:link w:val="Ttulo8"/>
    <w:uiPriority w:val="9"/>
    <w:semiHidden w:val="1"/>
    <w:rsid w:val="00400D7E"/>
    <w:rPr>
      <w:rFonts w:cstheme="majorBidi" w:eastAsiaTheme="majorEastAsia"/>
      <w:i w:val="1"/>
      <w:iCs w:val="1"/>
      <w:color w:val="272727" w:themeColor="text1" w:themeTint="0000D8"/>
    </w:rPr>
  </w:style>
  <w:style w:type="character" w:styleId="Ttulo9Char" w:customStyle="1">
    <w:name w:val="Título 9 Char"/>
    <w:basedOn w:val="Fontepargpadro"/>
    <w:link w:val="Ttulo9"/>
    <w:uiPriority w:val="9"/>
    <w:semiHidden w:val="1"/>
    <w:rsid w:val="00400D7E"/>
    <w:rPr>
      <w:rFonts w:cstheme="majorBidi" w:eastAsiaTheme="majorEastAsia"/>
      <w:color w:val="272727" w:themeColor="text1" w:themeTint="0000D8"/>
    </w:rPr>
  </w:style>
  <w:style w:type="character" w:styleId="TtuloChar" w:customStyle="1">
    <w:name w:val="Título Char"/>
    <w:basedOn w:val="Fontepargpadro"/>
    <w:uiPriority w:val="10"/>
    <w:rsid w:val="00400D7E"/>
    <w:rPr>
      <w:rFonts w:asciiTheme="majorHAnsi" w:cstheme="majorBidi" w:eastAsiaTheme="majorEastAsia" w:hAnsiTheme="majorHAnsi"/>
      <w:spacing w:val="-10"/>
      <w:kern w:val="28"/>
      <w:sz w:val="56"/>
      <w:szCs w:val="56"/>
    </w:rPr>
  </w:style>
  <w:style w:type="character" w:styleId="SubttuloChar" w:customStyle="1">
    <w:name w:val="Subtítulo Char"/>
    <w:basedOn w:val="Fontepargpadro"/>
    <w:uiPriority w:val="11"/>
    <w:rsid w:val="00400D7E"/>
    <w:rPr>
      <w:rFonts w:cstheme="majorBidi" w:eastAsiaTheme="majorEastAsia"/>
      <w:color w:val="595959" w:themeColor="text1" w:themeTint="0000A6"/>
      <w:spacing w:val="15"/>
      <w:sz w:val="28"/>
      <w:szCs w:val="28"/>
    </w:rPr>
  </w:style>
  <w:style w:type="paragraph" w:styleId="Citao">
    <w:name w:val="Quote"/>
    <w:basedOn w:val="Normal"/>
    <w:next w:val="Normal"/>
    <w:link w:val="CitaoChar"/>
    <w:uiPriority w:val="29"/>
    <w:qFormat w:val="1"/>
    <w:rsid w:val="00400D7E"/>
    <w:pPr>
      <w:spacing w:before="160"/>
      <w:jc w:val="center"/>
    </w:pPr>
    <w:rPr>
      <w:i w:val="1"/>
      <w:iCs w:val="1"/>
      <w:color w:val="404040" w:themeColor="text1" w:themeTint="0000BF"/>
    </w:rPr>
  </w:style>
  <w:style w:type="character" w:styleId="CitaoChar" w:customStyle="1">
    <w:name w:val="Citação Char"/>
    <w:basedOn w:val="Fontepargpadro"/>
    <w:link w:val="Citao"/>
    <w:uiPriority w:val="29"/>
    <w:rsid w:val="00400D7E"/>
    <w:rPr>
      <w:i w:val="1"/>
      <w:iCs w:val="1"/>
      <w:color w:val="404040" w:themeColor="text1" w:themeTint="0000BF"/>
    </w:rPr>
  </w:style>
  <w:style w:type="paragraph" w:styleId="PargrafodaLista">
    <w:name w:val="List Paragraph"/>
    <w:basedOn w:val="Normal"/>
    <w:uiPriority w:val="34"/>
    <w:qFormat w:val="1"/>
    <w:rsid w:val="00400D7E"/>
    <w:pPr>
      <w:ind w:left="720"/>
      <w:contextualSpacing w:val="1"/>
    </w:pPr>
  </w:style>
  <w:style w:type="character" w:styleId="nfaseIntensa">
    <w:name w:val="Intense Emphasis"/>
    <w:basedOn w:val="Fontepargpadro"/>
    <w:uiPriority w:val="21"/>
    <w:qFormat w:val="1"/>
    <w:rsid w:val="00400D7E"/>
    <w:rPr>
      <w:i w:val="1"/>
      <w:iCs w:val="1"/>
      <w:color w:val="0f4761" w:themeColor="accent1" w:themeShade="0000BF"/>
    </w:rPr>
  </w:style>
  <w:style w:type="paragraph" w:styleId="CitaoIntensa">
    <w:name w:val="Intense Quote"/>
    <w:basedOn w:val="Normal"/>
    <w:next w:val="Normal"/>
    <w:link w:val="CitaoIntensaChar"/>
    <w:uiPriority w:val="30"/>
    <w:qFormat w:val="1"/>
    <w:rsid w:val="00400D7E"/>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oIntensaChar" w:customStyle="1">
    <w:name w:val="Citação Intensa Char"/>
    <w:basedOn w:val="Fontepargpadro"/>
    <w:link w:val="CitaoIntensa"/>
    <w:uiPriority w:val="30"/>
    <w:rsid w:val="00400D7E"/>
    <w:rPr>
      <w:i w:val="1"/>
      <w:iCs w:val="1"/>
      <w:color w:val="0f4761" w:themeColor="accent1" w:themeShade="0000BF"/>
    </w:rPr>
  </w:style>
  <w:style w:type="character" w:styleId="RefernciaIntensa">
    <w:name w:val="Intense Reference"/>
    <w:basedOn w:val="Fontepargpadro"/>
    <w:uiPriority w:val="32"/>
    <w:qFormat w:val="1"/>
    <w:rsid w:val="00400D7E"/>
    <w:rPr>
      <w:b w:val="1"/>
      <w:bCs w:val="1"/>
      <w:smallCaps w:val="1"/>
      <w:color w:val="0f4761" w:themeColor="accent1" w:themeShade="0000BF"/>
      <w:spacing w:val="5"/>
    </w:rPr>
  </w:style>
  <w:style w:type="paragraph" w:styleId="Textodenotaderodap">
    <w:name w:val="footnote text"/>
    <w:basedOn w:val="Normal"/>
    <w:link w:val="TextodenotaderodapChar"/>
    <w:uiPriority w:val="99"/>
    <w:semiHidden w:val="1"/>
    <w:unhideWhenUsed w:val="1"/>
    <w:rsid w:val="00400D7E"/>
    <w:pPr>
      <w:spacing w:after="0" w:line="240" w:lineRule="auto"/>
    </w:pPr>
    <w:rPr>
      <w:sz w:val="20"/>
      <w:szCs w:val="20"/>
    </w:rPr>
  </w:style>
  <w:style w:type="character" w:styleId="TextodenotaderodapChar" w:customStyle="1">
    <w:name w:val="Texto de nota de rodapé Char"/>
    <w:basedOn w:val="Fontepargpadro"/>
    <w:link w:val="Textodenotaderodap"/>
    <w:uiPriority w:val="99"/>
    <w:semiHidden w:val="1"/>
    <w:rsid w:val="00400D7E"/>
    <w:rPr>
      <w:sz w:val="20"/>
      <w:szCs w:val="20"/>
    </w:rPr>
  </w:style>
  <w:style w:type="character" w:styleId="Refdenotaderodap">
    <w:name w:val="footnote reference"/>
    <w:basedOn w:val="Fontepargpadro"/>
    <w:uiPriority w:val="99"/>
    <w:semiHidden w:val="1"/>
    <w:unhideWhenUsed w:val="1"/>
    <w:rsid w:val="00400D7E"/>
    <w:rPr>
      <w:vertAlign w:val="superscript"/>
    </w:rPr>
  </w:style>
  <w:style w:type="character" w:styleId="Hyperlink">
    <w:name w:val="Hyperlink"/>
    <w:basedOn w:val="Fontepargpadro"/>
    <w:uiPriority w:val="99"/>
    <w:unhideWhenUsed w:val="1"/>
    <w:rsid w:val="00400D7E"/>
    <w:rPr>
      <w:color w:val="467886" w:themeColor="hyperlink"/>
      <w:u w:val="single"/>
    </w:rPr>
  </w:style>
  <w:style w:type="character" w:styleId="MenoPendente">
    <w:name w:val="Unresolved Mention"/>
    <w:basedOn w:val="Fontepargpadro"/>
    <w:uiPriority w:val="99"/>
    <w:semiHidden w:val="1"/>
    <w:unhideWhenUsed w:val="1"/>
    <w:rsid w:val="00400D7E"/>
    <w:rPr>
      <w:color w:val="605e5c"/>
      <w:shd w:color="auto" w:fill="e1dfdd" w:val="clear"/>
    </w:rPr>
  </w:style>
  <w:style w:type="paragraph" w:styleId="Reviso">
    <w:name w:val="Revision"/>
    <w:hidden w:val="1"/>
    <w:uiPriority w:val="99"/>
    <w:semiHidden w:val="1"/>
    <w:rsid w:val="00AA38D7"/>
    <w:pPr>
      <w:spacing w:after="0" w:line="240" w:lineRule="auto"/>
    </w:pPr>
  </w:style>
  <w:style w:type="character" w:styleId="Refdecomentrio">
    <w:name w:val="annotation reference"/>
    <w:basedOn w:val="Fontepargpadro"/>
    <w:uiPriority w:val="99"/>
    <w:semiHidden w:val="1"/>
    <w:unhideWhenUsed w:val="1"/>
    <w:rsid w:val="000A693C"/>
    <w:rPr>
      <w:sz w:val="16"/>
      <w:szCs w:val="16"/>
    </w:rPr>
  </w:style>
  <w:style w:type="paragraph" w:styleId="Textodecomentrio">
    <w:name w:val="annotation text"/>
    <w:basedOn w:val="Normal"/>
    <w:link w:val="TextodecomentrioChar"/>
    <w:uiPriority w:val="99"/>
    <w:unhideWhenUsed w:val="1"/>
    <w:rsid w:val="000A693C"/>
    <w:pPr>
      <w:spacing w:line="240" w:lineRule="auto"/>
    </w:pPr>
    <w:rPr>
      <w:sz w:val="20"/>
      <w:szCs w:val="20"/>
    </w:rPr>
  </w:style>
  <w:style w:type="character" w:styleId="TextodecomentrioChar" w:customStyle="1">
    <w:name w:val="Texto de comentário Char"/>
    <w:basedOn w:val="Fontepargpadro"/>
    <w:link w:val="Textodecomentrio"/>
    <w:uiPriority w:val="99"/>
    <w:rsid w:val="000A693C"/>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0A693C"/>
    <w:rPr>
      <w:b w:val="1"/>
      <w:bCs w:val="1"/>
    </w:rPr>
  </w:style>
  <w:style w:type="character" w:styleId="AssuntodocomentrioChar" w:customStyle="1">
    <w:name w:val="Assunto do comentário Char"/>
    <w:basedOn w:val="TextodecomentrioChar"/>
    <w:link w:val="Assuntodocomentrio"/>
    <w:uiPriority w:val="99"/>
    <w:semiHidden w:val="1"/>
    <w:rsid w:val="000A693C"/>
    <w:rPr>
      <w:b w:val="1"/>
      <w:bCs w:val="1"/>
      <w:sz w:val="20"/>
      <w:szCs w:val="20"/>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notes.xml.rels><?xml version="1.0" encoding="UTF-8" standalone="yes"?><Relationships xmlns="http://schemas.openxmlformats.org/package/2006/relationships"><Relationship Id="rId1" Type="http://schemas.openxmlformats.org/officeDocument/2006/relationships/hyperlink" Target="https://apublica.org/2024/07/em-busca-das-pecas-saqueadas-fosseis-extraidos-ilegalmente-do-ceara-voltam-ao-brasil/" TargetMode="External"/><Relationship Id="rId2" Type="http://schemas.openxmlformats.org/officeDocument/2006/relationships/hyperlink" Target="https://apublica.org/2024/07/em-busca-das-pecas-saqueadas-fosseis-extraidos-ilegalmente-do-ceara-voltam-ao-brasil/" TargetMode="External"/><Relationship Id="rId3" Type="http://schemas.openxmlformats.org/officeDocument/2006/relationships/hyperlink" Target="https://g1.globo.com/rj/rio-de-janeiro/noticia/2024/07/13/manto-tupinamba-entenda-como-o-item-repatriado-era-usado-em-rituais-antropofagicos-e-por-liderancas-indigenas-no-brasil.ghtml" TargetMode="External"/><Relationship Id="rId4" Type="http://schemas.openxmlformats.org/officeDocument/2006/relationships/hyperlink" Target="https://g1.globo.com/rj/rio-de-janeiro/noticia/2024/07/13/manto-tupinamba-entenda-como-o-item-repatriado-era-usado-em-rituais-antropofagicos-e-por-liderancas-indigenas-no-brasil.ghtml" TargetMode="External"/><Relationship Id="rId5" Type="http://schemas.openxmlformats.org/officeDocument/2006/relationships/hyperlink" Target="https://g1.globo.com/ba/bahia/noticia/2024/11/22/decisao-justica-eua-esmeralda-bahia.ghtml" TargetMode="External"/><Relationship Id="rId6" Type="http://schemas.openxmlformats.org/officeDocument/2006/relationships/hyperlink" Target="https://g1.globo.com/ba/bahia/noticia/2024/11/22/decisao-justica-eua-esmeralda-bahia.g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ju+MGzwrR2KJ6s7hBDLAUWayw==">CgMxLjAyDmguNXpxcjJnNzZnbWpjOAByITFoQkl3RWxvWXVOb0xCb1V1QkpjRWkwMDNoaTl0MFk4TQ==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2026-02-01T21:02:00Z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491ee9-ebaa-4ec1-b5b2-b40d22427e56_Enabled">
    <vt:lpwstr>true</vt:lpwstr>
  </property>
  <property fmtid="{D5CDD505-2E9C-101B-9397-08002B2CF9AE}" pid="3" name="MSIP_Label_a7491ee9-ebaa-4ec1-b5b2-b40d22427e56_SetDate">
    <vt:lpwstr>2026-01-31T19:03:43Z</vt:lpwstr>
  </property>
  <property fmtid="{D5CDD505-2E9C-101B-9397-08002B2CF9AE}" pid="4" name="MSIP_Label_a7491ee9-ebaa-4ec1-b5b2-b40d22427e56_Method">
    <vt:lpwstr>Standard</vt:lpwstr>
  </property>
  <property fmtid="{D5CDD505-2E9C-101B-9397-08002B2CF9AE}" pid="5" name="MSIP_Label_a7491ee9-ebaa-4ec1-b5b2-b40d22427e56_Name">
    <vt:lpwstr>Publico</vt:lpwstr>
  </property>
  <property fmtid="{D5CDD505-2E9C-101B-9397-08002B2CF9AE}" pid="6" name="MSIP_Label_a7491ee9-ebaa-4ec1-b5b2-b40d22427e56_SiteId">
    <vt:lpwstr>15411f66-6bcd-4193-9ab3-172cd841e740</vt:lpwstr>
  </property>
  <property fmtid="{D5CDD505-2E9C-101B-9397-08002B2CF9AE}" pid="7" name="MSIP_Label_a7491ee9-ebaa-4ec1-b5b2-b40d22427e56_ActionId">
    <vt:lpwstr>cb2f6c3f-67a2-45b0-9a79-42dbbf09bb01</vt:lpwstr>
  </property>
  <property fmtid="{D5CDD505-2E9C-101B-9397-08002B2CF9AE}" pid="8" name="MSIP_Label_a7491ee9-ebaa-4ec1-b5b2-b40d22427e56_ContentBits">
    <vt:lpwstr>0</vt:lpwstr>
  </property>
  <property fmtid="{D5CDD505-2E9C-101B-9397-08002B2CF9AE}" pid="9" name="MSIP_Label_a7491ee9-ebaa-4ec1-b5b2-b40d22427e56_Tag">
    <vt:lpwstr>10, 3, 0, 1</vt:lpwstr>
  </property>
</Properties>
</file>